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01" w:y="4029"/>
        <w:widowControl w:val="0"/>
        <w:shd w:val="clear" w:color="auto" w:fill="auto"/>
        <w:tabs>
          <w:tab w:pos="2946" w:val="left"/>
        </w:tabs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01 июня 2009г.</w:t>
        <w:tab/>
        <w:t>155-р</w:t>
      </w:r>
    </w:p>
    <w:p>
      <w:pPr>
        <w:pStyle w:val="Style2"/>
        <w:keepNext w:val="0"/>
        <w:keepLines w:val="0"/>
        <w:framePr w:w="9782" w:h="998" w:hRule="exact" w:wrap="none" w:vAnchor="page" w:hAnchor="page" w:x="1601" w:y="4994"/>
        <w:widowControl w:val="0"/>
        <w:shd w:val="clear" w:color="auto" w:fill="auto"/>
        <w:bidi w:val="0"/>
        <w:spacing w:before="0" w:after="0" w:line="240" w:lineRule="auto"/>
        <w:ind w:left="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задачах по подготовке объектов жилищно-коммунального хозяйства к осенне-зимнему периоду 2009-2010 гг.</w:t>
      </w:r>
    </w:p>
    <w:p>
      <w:pPr>
        <w:pStyle w:val="Style2"/>
        <w:keepNext w:val="0"/>
        <w:keepLines w:val="0"/>
        <w:framePr w:w="9782" w:h="8722" w:hRule="exact" w:wrap="none" w:vAnchor="page" w:hAnchor="page" w:x="1601" w:y="6928"/>
        <w:widowControl w:val="0"/>
        <w:shd w:val="clear" w:color="auto" w:fill="auto"/>
        <w:bidi w:val="0"/>
        <w:spacing w:before="0" w:after="32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распоряжением Правительства Ленинградской области от 28 мая 2009 года № 184-р «О задачах по подготовке объектов жилищно</w:t>
        <w:softHyphen/>
        <w:t>коммунального хозяйства Ленинградской области к осенне-зимнему периоду 2009-2010 годов» и в целях подготовки жилищно-коммунального хозяйства Лужского муниципального района к осенне-зимнему периоду 2009-2010 годов:</w:t>
      </w:r>
    </w:p>
    <w:p>
      <w:pPr>
        <w:pStyle w:val="Style2"/>
        <w:keepNext w:val="0"/>
        <w:keepLines w:val="0"/>
        <w:framePr w:w="9782" w:h="8722" w:hRule="exact" w:wrap="none" w:vAnchor="page" w:hAnchor="page" w:x="1601" w:y="6928"/>
        <w:widowControl w:val="0"/>
        <w:numPr>
          <w:ilvl w:val="0"/>
          <w:numId w:val="1"/>
        </w:numPr>
        <w:shd w:val="clear" w:color="auto" w:fill="auto"/>
        <w:tabs>
          <w:tab w:pos="1033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главам администраций городских и сельских поселений Ленинградской области:</w:t>
      </w:r>
    </w:p>
    <w:p>
      <w:pPr>
        <w:pStyle w:val="Style2"/>
        <w:keepNext w:val="0"/>
        <w:keepLines w:val="0"/>
        <w:framePr w:w="9782" w:h="8722" w:hRule="exact" w:wrap="none" w:vAnchor="page" w:hAnchor="page" w:x="1601" w:y="6928"/>
        <w:widowControl w:val="0"/>
        <w:numPr>
          <w:ilvl w:val="1"/>
          <w:numId w:val="1"/>
        </w:numPr>
        <w:shd w:val="clear" w:color="auto" w:fill="auto"/>
        <w:tabs>
          <w:tab w:pos="1330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Руководствоваться Правилами подготовки и проведения отопи</w:t>
        <w:softHyphen/>
        <w:t>тельного сезона в Ленинградской области, утвержденными постановлением Правительства Ленинградской области от 19 июня 2008 года № 177.</w:t>
      </w:r>
    </w:p>
    <w:p>
      <w:pPr>
        <w:pStyle w:val="Style2"/>
        <w:keepNext w:val="0"/>
        <w:keepLines w:val="0"/>
        <w:framePr w:w="9782" w:h="8722" w:hRule="exact" w:wrap="none" w:vAnchor="page" w:hAnchor="page" w:x="1601" w:y="6928"/>
        <w:widowControl w:val="0"/>
        <w:numPr>
          <w:ilvl w:val="1"/>
          <w:numId w:val="1"/>
        </w:numPr>
        <w:shd w:val="clear" w:color="auto" w:fill="auto"/>
        <w:tabs>
          <w:tab w:pos="1330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на территориях муниципальных образований соблюде</w:t>
        <w:softHyphen/>
        <w:t>ние сроков отключения систем горячего водоснабжения, установленных пунктом 4.4. СанПиН 4723-88, теплоснабжающими и эксплуатирующими инженерные сети организациями при проведении ежегодного профилак</w:t>
        <w:softHyphen/>
        <w:t>тического ремонта.</w:t>
      </w:r>
    </w:p>
    <w:p>
      <w:pPr>
        <w:pStyle w:val="Style2"/>
        <w:keepNext w:val="0"/>
        <w:keepLines w:val="0"/>
        <w:framePr w:w="9782" w:h="8722" w:hRule="exact" w:wrap="none" w:vAnchor="page" w:hAnchor="page" w:x="1601" w:y="6928"/>
        <w:widowControl w:val="0"/>
        <w:numPr>
          <w:ilvl w:val="1"/>
          <w:numId w:val="1"/>
        </w:numPr>
        <w:shd w:val="clear" w:color="auto" w:fill="auto"/>
        <w:tabs>
          <w:tab w:pos="1330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комплексные планы подготовки жилищно-коммунального хозяйства и топливно-энергетического комплекса к отопительному сезону 2009-2010 годов в соответствии с показателями статистического отчета по форме № 1-ЖКХ (зима) с учетом итогов предыдущего отопительного сезона, уделив особое внимание анализу нарушений, допущенных при эксплуатации систем жизнеобеспечения и представить в администрацию Лужского муниципального района для подготовки сводной информации.</w:t>
      </w:r>
    </w:p>
    <w:p>
      <w:pPr>
        <w:pStyle w:val="Style2"/>
        <w:keepNext w:val="0"/>
        <w:keepLines w:val="0"/>
        <w:framePr w:w="9782" w:h="8722" w:hRule="exact" w:wrap="none" w:vAnchor="page" w:hAnchor="page" w:x="1601" w:y="6928"/>
        <w:widowControl w:val="0"/>
        <w:numPr>
          <w:ilvl w:val="1"/>
          <w:numId w:val="1"/>
        </w:numPr>
        <w:shd w:val="clear" w:color="auto" w:fill="auto"/>
        <w:tabs>
          <w:tab w:pos="1330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достоверность и своевременность представления в администрацию Лужского муниципального района:</w:t>
      </w:r>
    </w:p>
    <w:p>
      <w:pPr>
        <w:pStyle w:val="Style2"/>
        <w:keepNext w:val="0"/>
        <w:keepLines w:val="0"/>
        <w:framePr w:w="9782" w:h="8722" w:hRule="exact" w:wrap="none" w:vAnchor="page" w:hAnchor="page" w:x="1601" w:y="6928"/>
        <w:widowControl w:val="0"/>
        <w:numPr>
          <w:ilvl w:val="0"/>
          <w:numId w:val="3"/>
        </w:numPr>
        <w:shd w:val="clear" w:color="auto" w:fill="auto"/>
        <w:tabs>
          <w:tab w:pos="996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статистического отчета по форме № 1-ЖКХ (зима) «Сведения о подготовке жилищно-коммунального хозяйства к работе в зимних условиях»,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rap="none" w:vAnchor="page" w:hAnchor="page" w:x="6445" w:y="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</w:t>
      </w:r>
    </w:p>
    <w:p>
      <w:pPr>
        <w:pStyle w:val="Style2"/>
        <w:keepNext w:val="0"/>
        <w:keepLines w:val="0"/>
        <w:framePr w:w="9782" w:h="14520" w:hRule="exact" w:wrap="none" w:vAnchor="page" w:hAnchor="page" w:x="1601" w:y="11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утвержденной постановлением Федеральной службы государственной статистики от 27 февраля 2006 года № 7, - в период с 1 июня по 1 ноября, не позднее 28 числа каждого месяца. Назначить Трофимову Д.А., главного специалиста отдела транспорта, связи и ЖКХ, ответственным за подготовку сводного статистического отчета по Лужскому муниципальному району по форме № 1-ЖКХ (зима);</w:t>
      </w:r>
    </w:p>
    <w:p>
      <w:pPr>
        <w:pStyle w:val="Style2"/>
        <w:keepNext w:val="0"/>
        <w:keepLines w:val="0"/>
        <w:framePr w:w="9782" w:h="14520" w:hRule="exact" w:wrap="none" w:vAnchor="page" w:hAnchor="page" w:x="1601" w:y="1130"/>
        <w:widowControl w:val="0"/>
        <w:numPr>
          <w:ilvl w:val="0"/>
          <w:numId w:val="3"/>
        </w:numPr>
        <w:shd w:val="clear" w:color="auto" w:fill="auto"/>
        <w:tabs>
          <w:tab w:pos="998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информации о технологических нарушениях, отказах и авариях на электросетях, объектах жилищно-коммунального хозяйства и объектах социальной сферы - ежедневно, в течение года, уделив особое внимание аварийным ситуациям в работе жилищно-коммунального хозяйства, срок ликвидации которых превысил 24 часа.</w:t>
      </w:r>
    </w:p>
    <w:p>
      <w:pPr>
        <w:pStyle w:val="Style2"/>
        <w:keepNext w:val="0"/>
        <w:keepLines w:val="0"/>
        <w:framePr w:w="9782" w:h="14520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330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Организовать производство ремонтных работ по подготовке к работе уличного освещения. Эксплуатацию уличного освещения начать не позднее 01.09.09.</w:t>
      </w:r>
    </w:p>
    <w:p>
      <w:pPr>
        <w:pStyle w:val="Style2"/>
        <w:keepNext w:val="0"/>
        <w:keepLines w:val="0"/>
        <w:framePr w:w="9782" w:h="14520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330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Образовать комиссии по проверке готовности жилищного фонда, объектов теплоэнергетики, социальной сферы и инженерной инфраструктуры к устойчивому функционированию в отопительном периоде 2009-2010 годов в соответствии с приказом Г осударственного комитета Российской Федерации по строительству и жилищно-коммунального комплексу от 06 сентября 2000 года № 203, а также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жилищно-коммунального комплексу от 27 сентября 2003 года № 170,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491.</w:t>
      </w:r>
    </w:p>
    <w:p>
      <w:pPr>
        <w:pStyle w:val="Style2"/>
        <w:keepNext w:val="0"/>
        <w:keepLines w:val="0"/>
        <w:framePr w:w="9782" w:h="14520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330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до 15 сентября 2009 года готовность жилищного фонда, объектов социальной сферы и инженерной инфраструктуры к работе в зимних условиях.</w:t>
      </w:r>
    </w:p>
    <w:p>
      <w:pPr>
        <w:pStyle w:val="Style2"/>
        <w:keepNext w:val="0"/>
        <w:keepLines w:val="0"/>
        <w:framePr w:w="9782" w:h="14520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330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Организовать с 15 сентября 2009 года и до начала отопительного сезона опробование систем теплоснабжения и резервных топливных хозяйств в работе.</w:t>
      </w:r>
    </w:p>
    <w:p>
      <w:pPr>
        <w:pStyle w:val="Style2"/>
        <w:keepNext w:val="0"/>
        <w:keepLines w:val="0"/>
        <w:framePr w:w="9782" w:h="14520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330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результатам опробования систем теплоснабжения и резервных топливных хозяйств оформить акты проверок и паспорта готовности котельных, тепловых сетей, жилых домов и объектов социальной сферы в соответствии с Положением об оценке готовности электро- и теплоснабжающих организаций к работе в осенне-зимний период, утвержденным Министерством промышленности и энергетики Российской Федерации 25 августа 2004 года, и представить до 1 ноября 2009 года в комитет по энергетическому комплексу и жилищно-коммунальному хозяйству Ленинградской области.</w:t>
      </w:r>
    </w:p>
    <w:p>
      <w:pPr>
        <w:pStyle w:val="Style2"/>
        <w:keepNext w:val="0"/>
        <w:keepLines w:val="0"/>
        <w:framePr w:w="9782" w:h="14520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765" w:val="left"/>
          <w:tab w:pos="2130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Проверить укомплектованность организаций жилищно</w:t>
        <w:softHyphen/>
      </w:r>
    </w:p>
    <w:p>
      <w:pPr>
        <w:pStyle w:val="Style2"/>
        <w:keepNext w:val="0"/>
        <w:keepLines w:val="0"/>
        <w:framePr w:w="9782" w:h="14520" w:hRule="exact" w:wrap="none" w:vAnchor="page" w:hAnchor="page" w:x="1601" w:y="11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коммунального хозяйства техникой и нормативным запасом материалов для оперативного выполнения аварийно-восстановительных работ.</w:t>
      </w:r>
    </w:p>
    <w:p>
      <w:pPr>
        <w:pStyle w:val="Style2"/>
        <w:keepNext w:val="0"/>
        <w:keepLines w:val="0"/>
        <w:framePr w:w="9782" w:h="14520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374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Уточнить до 1 июля 2009 года порядок ликвидации аварийных ситуаций в системах электро- и теплоснабжения с учетом взаимодействия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rap="none" w:vAnchor="page" w:hAnchor="page" w:x="6454" w:y="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</w:t>
      </w:r>
    </w:p>
    <w:p>
      <w:pPr>
        <w:pStyle w:val="Style2"/>
        <w:keepNext w:val="0"/>
        <w:keepLines w:val="0"/>
        <w:framePr w:w="9782" w:h="8371" w:hRule="exact" w:wrap="none" w:vAnchor="page" w:hAnchor="page" w:x="1601" w:y="11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тепло-, электро-, топливо- и водоснабжающих организаций, потребителей, жилищных, ремонтно-строительных, транспортных организаций и других служб.</w:t>
      </w:r>
    </w:p>
    <w:p>
      <w:pPr>
        <w:pStyle w:val="Style2"/>
        <w:keepNext w:val="0"/>
        <w:keepLines w:val="0"/>
        <w:framePr w:w="9782" w:h="8371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383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до 1 июля 2009 года расчеты допустимого времени устранения аварийных нарушений в работе систем отопления жилых домов.</w:t>
      </w:r>
    </w:p>
    <w:p>
      <w:pPr>
        <w:pStyle w:val="Style2"/>
        <w:keepNext w:val="0"/>
        <w:keepLines w:val="0"/>
        <w:framePr w:w="9782" w:h="8371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383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Уточнить до 15 августа 2009 года схемы оповещения и взаимодействия служб при ликвидации аварийных ситуаций на объектах жизнеобеспечения населения и содействовать заключению организациями жилищно-коммунального хозяйства соглашений с ведомствами, имеющими возможность оказания помощи специальной техникой и аттестованным персоналом.</w:t>
      </w:r>
    </w:p>
    <w:p>
      <w:pPr>
        <w:pStyle w:val="Style2"/>
        <w:keepNext w:val="0"/>
        <w:keepLines w:val="0"/>
        <w:framePr w:w="9782" w:h="8371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378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третьем квартале 2009 года организовать проверку готовности аварийных бригад и проведение учений, тренировок оперативно</w:t>
        <w:softHyphen/>
        <w:t>диспетчерских, аварийно-восстановительных служб и руководящего состава администраций муниципальных образований по ликвидации аварий на объектах жилищно-коммунального хозяйства.</w:t>
      </w:r>
    </w:p>
    <w:p>
      <w:pPr>
        <w:pStyle w:val="Style2"/>
        <w:keepNext w:val="0"/>
        <w:keepLines w:val="0"/>
        <w:framePr w:w="9782" w:h="8371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383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основании согласованных в установленном законом порядке актов готовности к отопительному сезону жилого фонда и предприятий жилищно-коммунального и топливно-энергетического комплекса, обеспечить получение паспортов готовности к отопительному сезону 2009-2010 годов:</w:t>
      </w:r>
    </w:p>
    <w:p>
      <w:pPr>
        <w:pStyle w:val="Style2"/>
        <w:keepNext w:val="0"/>
        <w:keepLines w:val="0"/>
        <w:framePr w:w="9782" w:h="8371" w:hRule="exact" w:wrap="none" w:vAnchor="page" w:hAnchor="page" w:x="1601" w:y="1130"/>
        <w:widowControl w:val="0"/>
        <w:numPr>
          <w:ilvl w:val="0"/>
          <w:numId w:val="5"/>
        </w:numPr>
        <w:shd w:val="clear" w:color="auto" w:fill="auto"/>
        <w:tabs>
          <w:tab w:pos="960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организациями жилищно-коммунального хозяйства - не позднее 15 сентября 2009 года;</w:t>
      </w:r>
    </w:p>
    <w:p>
      <w:pPr>
        <w:pStyle w:val="Style2"/>
        <w:keepNext w:val="0"/>
        <w:keepLines w:val="0"/>
        <w:framePr w:w="9782" w:h="8371" w:hRule="exact" w:wrap="none" w:vAnchor="page" w:hAnchor="page" w:x="1601" w:y="1130"/>
        <w:widowControl w:val="0"/>
        <w:numPr>
          <w:ilvl w:val="0"/>
          <w:numId w:val="5"/>
        </w:numPr>
        <w:shd w:val="clear" w:color="auto" w:fill="auto"/>
        <w:tabs>
          <w:tab w:pos="1780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теплоснабжающими организациями - не позднее 1 сентября 2009 года.</w:t>
      </w:r>
    </w:p>
    <w:p>
      <w:pPr>
        <w:pStyle w:val="Style2"/>
        <w:keepNext w:val="0"/>
        <w:keepLines w:val="0"/>
        <w:framePr w:w="9782" w:h="8371" w:hRule="exact" w:wrap="none" w:vAnchor="page" w:hAnchor="page" w:x="1601" w:y="1130"/>
        <w:widowControl w:val="0"/>
        <w:numPr>
          <w:ilvl w:val="1"/>
          <w:numId w:val="1"/>
        </w:numPr>
        <w:shd w:val="clear" w:color="auto" w:fill="auto"/>
        <w:tabs>
          <w:tab w:pos="1378" w:val="left"/>
        </w:tabs>
        <w:bidi w:val="0"/>
        <w:spacing w:before="0" w:after="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до 1 ноября 2009 года создание запасов топлива (уголь, мазут) в количестве: уголь - 8400 тн, мазут - 2300 тн, в т.ч. по городским и сельским поселениям:</w:t>
      </w:r>
    </w:p>
    <w:tbl>
      <w:tblPr>
        <w:tblOverlap w:val="never"/>
        <w:jc w:val="left"/>
        <w:tblLayout w:type="fixed"/>
      </w:tblPr>
      <w:tblGrid>
        <w:gridCol w:w="3192"/>
        <w:gridCol w:w="3192"/>
        <w:gridCol w:w="3202"/>
      </w:tblGrid>
      <w:tr>
        <w:trPr>
          <w:trHeight w:val="33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поселения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Плановый запас топлива</w:t>
            </w:r>
          </w:p>
        </w:tc>
      </w:tr>
      <w:tr>
        <w:trPr>
          <w:trHeight w:val="33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9586" w:h="5990" w:wrap="none" w:vAnchor="page" w:hAnchor="page" w:x="1601" w:y="950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Мазут, тыс.тн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Уголь, тыс.тн.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Лужское г.п.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0,82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Заклинское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0,38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Тесовское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0,55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Ям-Тесовское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1,13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Толмачевское г.п.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0,59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Мшинское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0,74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Торковичское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Скребловское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0,86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Дзержинское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0,98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Ретюнское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Волошовское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0,63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Осьминское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0,54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Оредежсское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Володарское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Серебрянское с.п.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0,78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586" w:h="5990" w:wrap="none" w:vAnchor="page" w:hAnchor="page" w:x="1601" w:y="95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8,4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rap="none" w:vAnchor="page" w:hAnchor="page" w:x="6404" w:y="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</w:t>
      </w:r>
    </w:p>
    <w:p>
      <w:pPr>
        <w:pStyle w:val="Style2"/>
        <w:keepNext w:val="0"/>
        <w:keepLines w:val="0"/>
        <w:framePr w:w="9701" w:h="9355" w:hRule="exact" w:wrap="none" w:vAnchor="page" w:hAnchor="page" w:x="1642" w:y="1456"/>
        <w:widowControl w:val="0"/>
        <w:numPr>
          <w:ilvl w:val="0"/>
          <w:numId w:val="1"/>
        </w:numPr>
        <w:shd w:val="clear" w:color="auto" w:fill="auto"/>
        <w:tabs>
          <w:tab w:pos="1049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Обратить внимание глав администраций городских и сельских поселений Лужского муниципального района Ленинградской области на персональную ответственность за подготовку объектов жилищно</w:t>
        <w:softHyphen/>
        <w:t>коммунального хозяйства и социальной сферы к работе в осенне-зимний период 2009-2010 годов.</w:t>
      </w:r>
    </w:p>
    <w:p>
      <w:pPr>
        <w:pStyle w:val="Style2"/>
        <w:keepNext w:val="0"/>
        <w:keepLines w:val="0"/>
        <w:framePr w:w="9701" w:h="9355" w:hRule="exact" w:wrap="none" w:vAnchor="page" w:hAnchor="page" w:x="1642" w:y="1456"/>
        <w:widowControl w:val="0"/>
        <w:numPr>
          <w:ilvl w:val="0"/>
          <w:numId w:val="1"/>
        </w:numPr>
        <w:shd w:val="clear" w:color="auto" w:fill="auto"/>
        <w:tabs>
          <w:tab w:pos="1054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состав межведомственной комиссии по подготовке объектов жилищно-коммунального хозяйства и социальной сферы к работе в осенне</w:t>
        <w:softHyphen/>
        <w:t>зимний период 2009-2010 гг. (приложение).</w:t>
      </w:r>
    </w:p>
    <w:p>
      <w:pPr>
        <w:pStyle w:val="Style2"/>
        <w:keepNext w:val="0"/>
        <w:keepLines w:val="0"/>
        <w:framePr w:w="9701" w:h="9355" w:hRule="exact" w:wrap="none" w:vAnchor="page" w:hAnchor="page" w:x="1642" w:y="1456"/>
        <w:widowControl w:val="0"/>
        <w:numPr>
          <w:ilvl w:val="0"/>
          <w:numId w:val="1"/>
        </w:numPr>
        <w:shd w:val="clear" w:color="auto" w:fill="auto"/>
        <w:tabs>
          <w:tab w:pos="171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Межведомственной районной комиссии:</w:t>
      </w:r>
    </w:p>
    <w:p>
      <w:pPr>
        <w:pStyle w:val="Style2"/>
        <w:keepNext w:val="0"/>
        <w:keepLines w:val="0"/>
        <w:framePr w:w="9701" w:h="9355" w:hRule="exact" w:wrap="none" w:vAnchor="page" w:hAnchor="page" w:x="1642" w:y="1456"/>
        <w:widowControl w:val="0"/>
        <w:numPr>
          <w:ilvl w:val="1"/>
          <w:numId w:val="1"/>
        </w:numPr>
        <w:shd w:val="clear" w:color="auto" w:fill="auto"/>
        <w:tabs>
          <w:tab w:pos="126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Организовать на территории района контроль за ходом выполнения работ на объектах теплоснабжения, электроснабжения, водоснабжения и водоотведения, независимо от ведомственной подчиненности, подготовкой резервных источников электроэнергии и созданием нормативных запасов топлива.</w:t>
      </w:r>
    </w:p>
    <w:p>
      <w:pPr>
        <w:pStyle w:val="Style2"/>
        <w:keepNext w:val="0"/>
        <w:keepLines w:val="0"/>
        <w:framePr w:w="9701" w:h="9355" w:hRule="exact" w:wrap="none" w:vAnchor="page" w:hAnchor="page" w:x="1642" w:y="1456"/>
        <w:widowControl w:val="0"/>
        <w:numPr>
          <w:ilvl w:val="1"/>
          <w:numId w:val="1"/>
        </w:numPr>
        <w:shd w:val="clear" w:color="auto" w:fill="auto"/>
        <w:tabs>
          <w:tab w:pos="1250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Ежемесячно заслушивать соответствующие предприятия и организации о ходе подготовки к работе в осенне-зимний период 2009-2010гг.</w:t>
      </w:r>
    </w:p>
    <w:p>
      <w:pPr>
        <w:pStyle w:val="Style2"/>
        <w:keepNext w:val="0"/>
        <w:keepLines w:val="0"/>
        <w:framePr w:w="9701" w:h="9355" w:hRule="exact" w:wrap="none" w:vAnchor="page" w:hAnchor="page" w:x="1642" w:y="1456"/>
        <w:widowControl w:val="0"/>
        <w:numPr>
          <w:ilvl w:val="0"/>
          <w:numId w:val="1"/>
        </w:numPr>
        <w:shd w:val="clear" w:color="auto" w:fill="auto"/>
        <w:tabs>
          <w:tab w:pos="1054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образования, МУЗ «Лужская ЦРБ», Комитету социальной защиты населения обеспечить своевременную оплату коммунальных услуг и топливно-энергетических ресурсов организациями бюджетной сферы.</w:t>
      </w:r>
    </w:p>
    <w:p>
      <w:pPr>
        <w:pStyle w:val="Style2"/>
        <w:keepNext w:val="0"/>
        <w:keepLines w:val="0"/>
        <w:framePr w:w="9701" w:h="9355" w:hRule="exact" w:wrap="none" w:vAnchor="page" w:hAnchor="page" w:x="1642" w:y="1456"/>
        <w:widowControl w:val="0"/>
        <w:numPr>
          <w:ilvl w:val="0"/>
          <w:numId w:val="1"/>
        </w:numPr>
        <w:shd w:val="clear" w:color="auto" w:fill="auto"/>
        <w:tabs>
          <w:tab w:pos="1039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Редакции газеты «Лужская правда» освещать ход подготовки объектов к осенне-зимнему периоду 2009-2010 гг.</w:t>
      </w:r>
    </w:p>
    <w:p>
      <w:pPr>
        <w:pStyle w:val="Style2"/>
        <w:keepNext w:val="0"/>
        <w:keepLines w:val="0"/>
        <w:framePr w:w="9701" w:h="9355" w:hRule="exact" w:wrap="none" w:vAnchor="page" w:hAnchor="page" w:x="1642" w:y="1456"/>
        <w:widowControl w:val="0"/>
        <w:numPr>
          <w:ilvl w:val="0"/>
          <w:numId w:val="1"/>
        </w:numPr>
        <w:shd w:val="clear" w:color="auto" w:fill="auto"/>
        <w:tabs>
          <w:tab w:pos="105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выполнением настоящего постановления возложить на заместителя главы администрации Лужского муниципального района Везикова Б.М.</w:t>
      </w:r>
    </w:p>
    <w:p>
      <w:pPr>
        <w:pStyle w:val="Style2"/>
        <w:keepNext w:val="0"/>
        <w:keepLines w:val="0"/>
        <w:framePr w:w="9701" w:h="672" w:hRule="exact" w:wrap="none" w:vAnchor="page" w:hAnchor="page" w:x="1642" w:y="11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701" w:h="672" w:hRule="exact" w:wrap="none" w:vAnchor="page" w:hAnchor="page" w:x="1642" w:y="11435"/>
        <w:widowControl w:val="0"/>
        <w:shd w:val="clear" w:color="auto" w:fill="auto"/>
        <w:tabs>
          <w:tab w:pos="779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 Тимофеев</w:t>
      </w:r>
    </w:p>
    <w:p>
      <w:pPr>
        <w:pStyle w:val="Style2"/>
        <w:keepNext w:val="0"/>
        <w:keepLines w:val="0"/>
        <w:framePr w:wrap="none" w:vAnchor="page" w:hAnchor="page" w:x="1642" w:y="14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отд. ЖКХ - 2 экз., адм. г/п и с/п, членам комиссии, прокуратуре.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rap="none" w:vAnchor="page" w:hAnchor="page" w:x="6423" w:y="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</w:t>
      </w:r>
    </w:p>
    <w:tbl>
      <w:tblPr>
        <w:tblOverlap w:val="never"/>
        <w:jc w:val="left"/>
        <w:tblLayout w:type="fixed"/>
      </w:tblPr>
      <w:tblGrid>
        <w:gridCol w:w="3206"/>
        <w:gridCol w:w="6475"/>
      </w:tblGrid>
      <w:tr>
        <w:trPr>
          <w:trHeight w:val="1598" w:hRule="exact"/>
        </w:trPr>
        <w:tc>
          <w:tcPr>
            <w:tcBorders/>
            <w:shd w:val="clear" w:color="auto" w:fill="auto"/>
            <w:vAlign w:val="top"/>
          </w:tcPr>
          <w:p>
            <w:pPr>
              <w:framePr w:w="9682" w:h="1598" w:wrap="none" w:vAnchor="page" w:hAnchor="page" w:x="1652" w:y="11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1598" w:wrap="none" w:vAnchor="page" w:hAnchor="page" w:x="1652" w:y="1173"/>
              <w:widowControl w:val="0"/>
              <w:shd w:val="clear" w:color="auto" w:fill="auto"/>
              <w:bidi w:val="0"/>
              <w:spacing w:before="0" w:after="0" w:line="240" w:lineRule="auto"/>
              <w:ind w:left="1760" w:right="0" w:firstLine="7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Утвержден распоряжением администрации Лужского муниципального района от 01.06.2009 № 155-р (приложение)</w:t>
            </w:r>
          </w:p>
        </w:tc>
      </w:tr>
    </w:tbl>
    <w:p>
      <w:pPr>
        <w:pStyle w:val="Style2"/>
        <w:keepNext w:val="0"/>
        <w:keepLines w:val="0"/>
        <w:framePr w:w="9682" w:h="2606" w:hRule="exact" w:wrap="none" w:vAnchor="page" w:hAnchor="page" w:x="1652" w:y="33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</w:t>
      </w:r>
    </w:p>
    <w:p>
      <w:pPr>
        <w:pStyle w:val="Style2"/>
        <w:keepNext w:val="0"/>
        <w:keepLines w:val="0"/>
        <w:framePr w:w="9682" w:h="2606" w:hRule="exact" w:wrap="none" w:vAnchor="page" w:hAnchor="page" w:x="1652" w:y="3386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комиссии по подготовке объектов жилищно-коммунального хозяйства и</w:t>
        <w:br/>
        <w:t>социальной сферы к работе в осенне-зимний период 2009-2010 гг.</w:t>
      </w:r>
    </w:p>
    <w:p>
      <w:pPr>
        <w:pStyle w:val="Style2"/>
        <w:keepNext w:val="0"/>
        <w:keepLines w:val="0"/>
        <w:framePr w:w="9682" w:h="2606" w:hRule="exact" w:wrap="none" w:vAnchor="page" w:hAnchor="page" w:x="1652" w:y="3386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комиссии:</w:t>
      </w:r>
    </w:p>
    <w:p>
      <w:pPr>
        <w:pStyle w:val="Style2"/>
        <w:keepNext w:val="0"/>
        <w:keepLines w:val="0"/>
        <w:framePr w:w="9682" w:h="2606" w:hRule="exact" w:wrap="none" w:vAnchor="page" w:hAnchor="page" w:x="1652" w:y="33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Везиков Б.М. - заместитель главы администрации Лужского муниципального района;</w:t>
      </w:r>
    </w:p>
    <w:p>
      <w:pPr>
        <w:pStyle w:val="Style2"/>
        <w:keepNext w:val="0"/>
        <w:keepLines w:val="0"/>
        <w:framePr w:w="9682" w:h="2606" w:hRule="exact" w:wrap="none" w:vAnchor="page" w:hAnchor="page" w:x="1652" w:y="3386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председателя комиссии:</w:t>
      </w:r>
    </w:p>
    <w:tbl>
      <w:tblPr>
        <w:tblOverlap w:val="never"/>
        <w:jc w:val="left"/>
        <w:tblLayout w:type="fixed"/>
      </w:tblPr>
      <w:tblGrid>
        <w:gridCol w:w="3206"/>
        <w:gridCol w:w="6475"/>
      </w:tblGrid>
      <w:tr>
        <w:trPr>
          <w:trHeight w:val="9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950" w:wrap="none" w:vAnchor="page" w:hAnchor="page" w:x="1652" w:y="60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Харламова Т.И.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82" w:h="950" w:wrap="none" w:vAnchor="page" w:hAnchor="page" w:x="1652" w:y="6007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заведующий отделом транспорта, связи и ЖКХ администрации Лужского муниципального района;</w:t>
            </w:r>
          </w:p>
        </w:tc>
      </w:tr>
    </w:tbl>
    <w:p>
      <w:pPr>
        <w:pStyle w:val="Style11"/>
        <w:keepNext w:val="0"/>
        <w:keepLines w:val="0"/>
        <w:framePr w:wrap="none" w:vAnchor="page" w:hAnchor="page" w:x="2569" w:y="69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Секретарь комиссии:</w:t>
      </w:r>
    </w:p>
    <w:tbl>
      <w:tblPr>
        <w:tblOverlap w:val="never"/>
        <w:jc w:val="left"/>
        <w:tblLayout w:type="fixed"/>
      </w:tblPr>
      <w:tblGrid>
        <w:gridCol w:w="3206"/>
        <w:gridCol w:w="6475"/>
      </w:tblGrid>
      <w:tr>
        <w:trPr>
          <w:trHeight w:val="99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998" w:wrap="none" w:vAnchor="page" w:hAnchor="page" w:x="1652" w:y="728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Трофимова Д.А.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998" w:wrap="none" w:vAnchor="page" w:hAnchor="page" w:x="1652" w:y="7283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главный специалист отдела транспорта, связи и ЖКХ администрации Лужского муниципального района;</w:t>
            </w:r>
          </w:p>
        </w:tc>
      </w:tr>
    </w:tbl>
    <w:p>
      <w:pPr>
        <w:pStyle w:val="Style11"/>
        <w:keepNext w:val="0"/>
        <w:keepLines w:val="0"/>
        <w:framePr w:w="2136" w:h="302" w:hRule="exact" w:wrap="none" w:vAnchor="page" w:hAnchor="page" w:x="2626" w:y="8215"/>
        <w:widowControl w:val="0"/>
        <w:shd w:val="clear" w:color="auto" w:fill="auto"/>
        <w:bidi w:val="0"/>
        <w:spacing w:before="0" w:after="0" w:line="240" w:lineRule="auto"/>
        <w:ind w:left="0" w:right="2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комиссии:</w:t>
      </w:r>
    </w:p>
    <w:tbl>
      <w:tblPr>
        <w:tblOverlap w:val="never"/>
        <w:jc w:val="left"/>
        <w:tblLayout w:type="fixed"/>
      </w:tblPr>
      <w:tblGrid>
        <w:gridCol w:w="3206"/>
        <w:gridCol w:w="6475"/>
      </w:tblGrid>
      <w:tr>
        <w:trPr>
          <w:trHeight w:val="70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Михеев В.Л.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заведующий отделом ГО и ЧС администрации Лужского муниципального района;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Михайлов Г.П.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заместитель главы администрации Лужского городского поселения;</w:t>
            </w:r>
          </w:p>
        </w:tc>
      </w:tr>
      <w:tr>
        <w:trPr>
          <w:trHeight w:val="65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Волков А.В.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председатель депутатской комиссии по ЖКХ (по согласованию);</w:t>
            </w:r>
          </w:p>
        </w:tc>
      </w:tr>
      <w:tr>
        <w:trPr>
          <w:trHeight w:val="126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Базай Я.Б.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начальник территориального отдела управления ФС по надзору в сфере защиты прав потребителей и благополучия человека по Лужскому району (по согласованию);</w:t>
            </w:r>
          </w:p>
        </w:tc>
      </w:tr>
      <w:tr>
        <w:trPr>
          <w:trHeight w:val="96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Банков В.Ф.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начальник Тосненского МОЭН МТУ Ростехнадзора по Северо - Западному федеральному округу (по согласованию);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Федоров А.Ф.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директор филиала ОАО «Ленэнерго» «Лужские электрические сети» (по согласованию);</w:t>
            </w:r>
          </w:p>
        </w:tc>
      </w:tr>
      <w:tr>
        <w:trPr>
          <w:trHeight w:val="65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Корейша М.А.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директор филиала ОАО «ЛОЭСК» «Лужские городские электросети» (по согласованию);</w:t>
            </w:r>
          </w:p>
        </w:tc>
      </w:tr>
      <w:tr>
        <w:trPr>
          <w:trHeight w:val="79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Петров Э.А.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главный энергетик ОАО «Толмачевский завод ЖБ и МК»;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Вовер Б.Л.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82" w:h="7128" w:wrap="none" w:vAnchor="page" w:hAnchor="page" w:x="1652" w:y="8522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начальник отдела государственного противопожарного надзора (по согласованию);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2602"/>
        <w:gridCol w:w="6158"/>
      </w:tblGrid>
      <w:tr>
        <w:trPr>
          <w:trHeight w:val="1397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8760" w:h="2995" w:wrap="none" w:vAnchor="page" w:hAnchor="page" w:x="1670" w:y="7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Вурмс В.Г.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8760" w:h="2995" w:wrap="none" w:vAnchor="page" w:hAnchor="page" w:x="1670" w:y="741"/>
              <w:widowControl w:val="0"/>
              <w:shd w:val="clear" w:color="auto" w:fill="auto"/>
              <w:bidi w:val="0"/>
              <w:spacing w:before="0" w:after="140" w:line="240" w:lineRule="auto"/>
              <w:ind w:left="2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9"/>
              <w:keepNext w:val="0"/>
              <w:keepLines w:val="0"/>
              <w:framePr w:w="8760" w:h="2995" w:wrap="none" w:vAnchor="page" w:hAnchor="page" w:x="1670" w:y="741"/>
              <w:widowControl w:val="0"/>
              <w:shd w:val="clear" w:color="auto" w:fill="auto"/>
              <w:bidi w:val="0"/>
              <w:spacing w:before="0" w:after="0" w:line="240" w:lineRule="auto"/>
              <w:ind w:left="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председатель комитета социальной защиты населения администрации Лужского муниципального района;</w:t>
            </w:r>
          </w:p>
        </w:tc>
      </w:tr>
      <w:tr>
        <w:trPr>
          <w:trHeight w:val="96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8760" w:h="2995" w:wrap="none" w:vAnchor="page" w:hAnchor="page" w:x="1670" w:y="7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Михайлов А.В.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8760" w:h="2995" w:wrap="none" w:vAnchor="page" w:hAnchor="page" w:x="1670" w:y="741"/>
              <w:widowControl w:val="0"/>
              <w:shd w:val="clear" w:color="auto" w:fill="auto"/>
              <w:bidi w:val="0"/>
              <w:spacing w:before="0" w:after="0" w:line="240" w:lineRule="auto"/>
              <w:ind w:left="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ведущий специалист отдела образования администрации Лужского муниципального района;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8760" w:h="2995" w:wrap="none" w:vAnchor="page" w:hAnchor="page" w:x="1670" w:y="74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Арутюнян В.В.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8760" w:h="2995" w:wrap="none" w:vAnchor="page" w:hAnchor="page" w:x="1670" w:y="741"/>
              <w:widowControl w:val="0"/>
              <w:shd w:val="clear" w:color="auto" w:fill="auto"/>
              <w:bidi w:val="0"/>
              <w:spacing w:before="0" w:after="0" w:line="240" w:lineRule="auto"/>
              <w:ind w:left="7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заместитель главного врача по АХЧ МУЗ «Лужская ЦРБ»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Колонтитул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Подпись к таблиц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Подпись к таблице"/>
    <w:basedOn w:val="Normal"/>
    <w:link w:val="CharStyle1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Проект</dc:title>
  <dc:subject/>
  <dc:creator>ШпакВЛ</dc:creator>
  <cp:keywords/>
</cp:coreProperties>
</file>