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148" w:y="4031"/>
        <w:widowControl w:val="0"/>
        <w:shd w:val="clear" w:color="auto" w:fill="auto"/>
        <w:tabs>
          <w:tab w:pos="3442" w:val="left"/>
        </w:tabs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02 сентября 2009г.</w:t>
        <w:tab/>
        <w:t>249-р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shd w:val="clear" w:color="auto" w:fill="auto"/>
        <w:bidi w:val="0"/>
        <w:spacing w:before="0" w:after="64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создании комиссии по переводу муниципального учреждения «Центр социального обслуживания граждан пожилого возраста и инвалидов» в негосударственную некоммерческую организацию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shd w:val="clear" w:color="auto" w:fill="auto"/>
        <w:tabs>
          <w:tab w:pos="1483" w:val="left"/>
          <w:tab w:pos="193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 исполнение распоряжения Губернатора Ленинградской области от 29.06.2006</w:t>
        <w:tab/>
        <w:t>№</w:t>
        <w:tab/>
        <w:t>320-рг «О привлечении негосударственных организаций к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выполнению государственных и муниципальных заказов по предоставлению бюджетных услуг населению»,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numPr>
          <w:ilvl w:val="0"/>
          <w:numId w:val="1"/>
        </w:numPr>
        <w:shd w:val="clear" w:color="auto" w:fill="auto"/>
        <w:tabs>
          <w:tab w:pos="1114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Создать при администрации Лужского муниципального района комиссию по переводу муниципального учреждения «Центр социального обслуживания граждан пожилого возраста и инвалидов» в негосударственную некоммерческую организацию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numPr>
          <w:ilvl w:val="0"/>
          <w:numId w:val="1"/>
        </w:numPr>
        <w:shd w:val="clear" w:color="auto" w:fill="auto"/>
        <w:tabs>
          <w:tab w:pos="1114" w:val="left"/>
        </w:tabs>
        <w:bidi w:val="0"/>
        <w:spacing w:before="0" w:after="240" w:line="254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комиссии по переводу муниципального учреждения «Центр социального обслуживания граждан пожилого возраста и инвалидов» в негосударственную некоммерческую организацию (приложе-ние 1).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numPr>
          <w:ilvl w:val="0"/>
          <w:numId w:val="1"/>
        </w:numPr>
        <w:shd w:val="clear" w:color="auto" w:fill="auto"/>
        <w:tabs>
          <w:tab w:pos="1923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состав комиссии (приложение 2).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numPr>
          <w:ilvl w:val="0"/>
          <w:numId w:val="1"/>
        </w:numPr>
        <w:shd w:val="clear" w:color="auto" w:fill="auto"/>
        <w:tabs>
          <w:tab w:pos="1114" w:val="left"/>
        </w:tabs>
        <w:bidi w:val="0"/>
        <w:spacing w:before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shd w:val="clear" w:color="auto" w:fill="auto"/>
        <w:tabs>
          <w:tab w:pos="720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="9854" w:h="10930" w:hRule="exact" w:wrap="none" w:vAnchor="page" w:hAnchor="page" w:x="1148" w:y="49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членам комиссии, прокуратуре.</w:t>
      </w:r>
    </w:p>
    <w:p>
      <w:pPr>
        <w:pStyle w:val="Style4"/>
        <w:keepNext w:val="0"/>
        <w:keepLines w:val="0"/>
        <w:framePr w:w="9854" w:h="10930" w:hRule="exact" w:wrap="none" w:vAnchor="page" w:hAnchor="page" w:x="1148" w:y="4996"/>
        <w:widowControl w:val="0"/>
        <w:shd w:val="clear" w:color="auto" w:fill="auto"/>
        <w:bidi w:val="0"/>
        <w:spacing w:before="0" w:after="0" w:line="240" w:lineRule="auto"/>
        <w:ind w:left="62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826" w:h="1090" w:hRule="exact" w:wrap="none" w:vAnchor="page" w:hAnchor="page" w:x="1162" w:y="1132"/>
        <w:widowControl w:val="0"/>
        <w:shd w:val="clear" w:color="auto" w:fill="auto"/>
        <w:bidi w:val="0"/>
        <w:spacing w:before="0" w:after="0" w:line="230" w:lineRule="auto"/>
        <w:ind w:left="62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 администрации Лужского муниципального района от 02.09.2009 № 249-р</w:t>
      </w:r>
    </w:p>
    <w:p>
      <w:pPr>
        <w:pStyle w:val="Style4"/>
        <w:keepNext w:val="0"/>
        <w:keepLines w:val="0"/>
        <w:framePr w:w="9826" w:h="1090" w:hRule="exact" w:wrap="none" w:vAnchor="page" w:hAnchor="page" w:x="1162" w:y="1132"/>
        <w:widowControl w:val="0"/>
        <w:shd w:val="clear" w:color="auto" w:fill="auto"/>
        <w:bidi w:val="0"/>
        <w:spacing w:before="0" w:after="0" w:line="230" w:lineRule="auto"/>
        <w:ind w:left="62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(приложение 1)</w:t>
      </w:r>
    </w:p>
    <w:p>
      <w:pPr>
        <w:pStyle w:val="Style4"/>
        <w:keepNext w:val="0"/>
        <w:keepLines w:val="0"/>
        <w:framePr w:w="9826" w:h="1142" w:hRule="exact" w:wrap="none" w:vAnchor="page" w:hAnchor="page" w:x="1162" w:y="28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ПОЛОЖЕНИЕ</w:t>
      </w:r>
    </w:p>
    <w:p>
      <w:pPr>
        <w:pStyle w:val="Style4"/>
        <w:keepNext w:val="0"/>
        <w:keepLines w:val="0"/>
        <w:framePr w:w="9826" w:h="1142" w:hRule="exact" w:wrap="none" w:vAnchor="page" w:hAnchor="page" w:x="1162" w:y="28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комиссии по переводу муниципального учреждения «Центр социального обслуживания</w:t>
        <w:br/>
        <w:t>граждан пожилого возраста и инвалидов» в негосударственную некоммерческую</w:t>
        <w:br/>
        <w:t>организацию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1.Комиссия по переводу муниципального учреждения «Центр "социального обслуживания граждан пожилого возраста и инвалидов» в негосударственную некоммерческую организацию (далее - комиссия) в своей деятельности руководствуется Конституцией Российской Федерации, Уставом Ленинградской области, федеральными и областными законами, Уставом Лужского муниципального района, иными нормативными правовыми документами Российской Федерации и Ленинградской области, а также настоящим Положением.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2.Основными задачами комиссии являются: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numPr>
          <w:ilvl w:val="0"/>
          <w:numId w:val="3"/>
        </w:numPr>
        <w:shd w:val="clear" w:color="auto" w:fill="auto"/>
        <w:tabs>
          <w:tab w:pos="20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выработка системного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ru-RU" w:eastAsia="ru-RU" w:bidi="ru-RU"/>
        </w:rPr>
        <w:t>л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подхода к вопросу перевода муниципального учреждения «Центр социального обслуживания граждан пожилого возраста и инвалидов» в негосударственную некоммерческую организацию;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numPr>
          <w:ilvl w:val="0"/>
          <w:numId w:val="3"/>
        </w:numPr>
        <w:shd w:val="clear" w:color="auto" w:fill="auto"/>
        <w:tabs>
          <w:tab w:pos="20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согласование документов по переводу муниципального учреждения «Центр социального обслуживания граждан пожилого возраста и инвалидов» в иную организационно-правовую форму деятельности;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numPr>
          <w:ilvl w:val="0"/>
          <w:numId w:val="3"/>
        </w:numPr>
        <w:shd w:val="clear" w:color="auto" w:fill="auto"/>
        <w:tabs>
          <w:tab w:pos="20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обеспечение согласованных действий отраслевых органов администрации Лужского муниципального района и муниципального учреждения «Центр социального обслуживания граждан пожилого возраста и инвалидов» в переходный период.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З.Комиссия для выполнения возложенных на нее задач осуществляет следующие функции: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numPr>
          <w:ilvl w:val="0"/>
          <w:numId w:val="5"/>
        </w:numPr>
        <w:shd w:val="clear" w:color="auto" w:fill="auto"/>
        <w:tabs>
          <w:tab w:pos="20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определяет целесообразность изменения организационно-правовой формы действующего муниципального учреждения «Центр социального обслуживания граждан пожилого возраста и инвалидов» на основе предложений отраслевых органов администрации муниципального района;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numPr>
          <w:ilvl w:val="0"/>
          <w:numId w:val="5"/>
        </w:numPr>
        <w:shd w:val="clear" w:color="auto" w:fill="auto"/>
        <w:tabs>
          <w:tab w:pos="204" w:val="left"/>
        </w:tabs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принимает участие в подготовке проектов нормативных правовых актов по вопросу перевода муниципального учреждения «Центр социального обслуживания граждан пожилого возраста и инвалидов» в негосударственную некоммерческую организацию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shd w:val="clear" w:color="auto" w:fill="auto"/>
        <w:bidi w:val="0"/>
        <w:spacing w:before="0" w:after="0" w:line="233" w:lineRule="auto"/>
        <w:ind w:left="61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</w:t>
      </w:r>
    </w:p>
    <w:p>
      <w:pPr>
        <w:pStyle w:val="Style4"/>
        <w:keepNext w:val="0"/>
        <w:keepLines w:val="0"/>
        <w:framePr w:w="9826" w:h="8914" w:hRule="exact" w:wrap="none" w:vAnchor="page" w:hAnchor="page" w:x="1162" w:y="4809"/>
        <w:widowControl w:val="0"/>
        <w:shd w:val="clear" w:color="auto" w:fill="auto"/>
        <w:bidi w:val="0"/>
        <w:spacing w:before="0" w:after="0" w:line="233" w:lineRule="auto"/>
        <w:ind w:left="61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распоряжением администрации Луже кого муниципального района от 02.09.2009 № 249-р (приложение 2)</w:t>
      </w:r>
    </w:p>
    <w:p>
      <w:pPr>
        <w:pStyle w:val="Style4"/>
        <w:keepNext w:val="0"/>
        <w:keepLines w:val="0"/>
        <w:framePr w:w="9826" w:h="1142" w:hRule="exact" w:wrap="none" w:vAnchor="page" w:hAnchor="page" w:x="1162" w:y="14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</w:t>
      </w:r>
    </w:p>
    <w:p>
      <w:pPr>
        <w:pStyle w:val="Style4"/>
        <w:keepNext w:val="0"/>
        <w:keepLines w:val="0"/>
        <w:framePr w:w="9826" w:h="1142" w:hRule="exact" w:wrap="none" w:vAnchor="page" w:hAnchor="page" w:x="1162" w:y="14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комиссии по переводу муниципального учреждения «Центр социального обслуживания</w:t>
        <w:br/>
        <w:t>граждан пожилого возраста и инвалидов» в негосударственную некоммерческую</w:t>
        <w:br/>
        <w:t>организацию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826" w:h="4675" w:hRule="exact" w:wrap="none" w:vAnchor="page" w:hAnchor="page" w:x="1162" w:y="1358"/>
        <w:widowControl w:val="0"/>
        <w:shd w:val="clear" w:color="auto" w:fill="auto"/>
        <w:bidi w:val="0"/>
        <w:spacing w:before="0" w:after="280" w:line="240" w:lineRule="auto"/>
        <w:ind w:left="0" w:right="0" w:firstLine="54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Председатель комиссии:</w:t>
      </w:r>
    </w:p>
    <w:p>
      <w:pPr>
        <w:pStyle w:val="Style4"/>
        <w:keepNext w:val="0"/>
        <w:keepLines w:val="0"/>
        <w:framePr w:w="9826" w:h="4675" w:hRule="exact" w:wrap="none" w:vAnchor="page" w:hAnchor="page" w:x="1162" w:y="1358"/>
        <w:widowControl w:val="0"/>
        <w:shd w:val="clear" w:color="auto" w:fill="auto"/>
        <w:bidi w:val="0"/>
        <w:spacing w:before="0" w:after="2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Солдатов Андрей Валентинович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Члены комиссии</w:t>
      </w:r>
    </w:p>
    <w:p>
      <w:pPr>
        <w:pStyle w:val="Style4"/>
        <w:keepNext w:val="0"/>
        <w:keepLines w:val="0"/>
        <w:framePr w:w="9826" w:h="4675" w:hRule="exact" w:wrap="none" w:vAnchor="page" w:hAnchor="page" w:x="1162" w:y="1358"/>
        <w:widowControl w:val="0"/>
        <w:shd w:val="clear" w:color="auto" w:fill="auto"/>
        <w:tabs>
          <w:tab w:pos="1802" w:val="left"/>
        </w:tabs>
        <w:bidi w:val="0"/>
        <w:spacing w:before="0" w:after="56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Вурмс</w:t>
        <w:tab/>
        <w:t>Валентина Густавовна</w:t>
      </w:r>
    </w:p>
    <w:p>
      <w:pPr>
        <w:pStyle w:val="Style4"/>
        <w:keepNext w:val="0"/>
        <w:keepLines w:val="0"/>
        <w:framePr w:w="9826" w:h="4675" w:hRule="exact" w:wrap="none" w:vAnchor="page" w:hAnchor="page" w:x="1162" w:y="1358"/>
        <w:widowControl w:val="0"/>
        <w:shd w:val="clear" w:color="auto" w:fill="auto"/>
        <w:tabs>
          <w:tab w:pos="1802" w:val="left"/>
        </w:tabs>
        <w:bidi w:val="0"/>
        <w:spacing w:before="0" w:after="44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Ухов</w:t>
        <w:tab/>
        <w:t>Валерий Константинович</w:t>
      </w:r>
    </w:p>
    <w:p>
      <w:pPr>
        <w:pStyle w:val="Style4"/>
        <w:keepNext w:val="0"/>
        <w:keepLines w:val="0"/>
        <w:framePr w:w="9826" w:h="4675" w:hRule="exact" w:wrap="none" w:vAnchor="page" w:hAnchor="page" w:x="1162" w:y="1358"/>
        <w:widowControl w:val="0"/>
        <w:shd w:val="clear" w:color="auto" w:fill="auto"/>
        <w:tabs>
          <w:tab w:pos="1802" w:val="left"/>
          <w:tab w:pos="3252" w:val="left"/>
        </w:tabs>
        <w:bidi w:val="0"/>
        <w:spacing w:before="0" w:after="56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Васина</w:t>
        <w:tab/>
        <w:t>Нина</w:t>
        <w:tab/>
        <w:t>Васильевна</w:t>
      </w:r>
    </w:p>
    <w:p>
      <w:pPr>
        <w:pStyle w:val="Style4"/>
        <w:keepNext w:val="0"/>
        <w:keepLines w:val="0"/>
        <w:framePr w:w="9826" w:h="4675" w:hRule="exact" w:wrap="none" w:vAnchor="page" w:hAnchor="page" w:x="1162" w:y="1358"/>
        <w:widowControl w:val="0"/>
        <w:shd w:val="clear" w:color="auto" w:fill="auto"/>
        <w:bidi w:val="0"/>
        <w:spacing w:before="0" w:after="56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Борисова Виктория Николаевна Аксенова Татьяна Витальевна Преснякова Галина</w:t>
      </w:r>
    </w:p>
    <w:p>
      <w:pPr>
        <w:pStyle w:val="Style4"/>
        <w:keepNext w:val="0"/>
        <w:keepLines w:val="0"/>
        <w:framePr w:w="9826" w:h="4675" w:hRule="exact" w:wrap="none" w:vAnchor="page" w:hAnchor="page" w:x="1162" w:y="1358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Ивановна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158" w:y="1919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первый заместитель главы администрации Лужского муниципального района</w:t>
      </w:r>
    </w:p>
    <w:p>
      <w:pPr>
        <w:pStyle w:val="Style4"/>
        <w:keepNext w:val="0"/>
        <w:keepLines w:val="0"/>
        <w:framePr w:w="9826" w:h="4762" w:hRule="exact" w:wrap="none" w:vAnchor="page" w:hAnchor="page" w:x="1158" w:y="2745"/>
        <w:widowControl w:val="0"/>
        <w:shd w:val="clear" w:color="auto" w:fill="auto"/>
        <w:tabs>
          <w:tab w:pos="2114" w:val="left"/>
          <w:tab w:pos="4258" w:val="left"/>
        </w:tabs>
        <w:bidi w:val="0"/>
        <w:spacing w:before="0" w:after="0" w:line="240" w:lineRule="auto"/>
        <w:ind w:left="5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председатель комитета социальной защиты населения</w:t>
        <w:tab/>
        <w:t>администрации</w:t>
        <w:tab/>
        <w:t>Лужского</w:t>
      </w:r>
    </w:p>
    <w:p>
      <w:pPr>
        <w:pStyle w:val="Style4"/>
        <w:keepNext w:val="0"/>
        <w:keepLines w:val="0"/>
        <w:framePr w:w="9826" w:h="4762" w:hRule="exact" w:wrap="none" w:vAnchor="page" w:hAnchor="page" w:x="1158" w:y="2745"/>
        <w:widowControl w:val="0"/>
        <w:shd w:val="clear" w:color="auto" w:fill="auto"/>
        <w:tabs>
          <w:tab w:pos="2441" w:val="left"/>
          <w:tab w:pos="4500" w:val="left"/>
        </w:tabs>
        <w:bidi w:val="0"/>
        <w:spacing w:before="0" w:after="0" w:line="240" w:lineRule="auto"/>
        <w:ind w:left="5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муниципального района председатель комитета финансов Лужского муниципального района заведующий отделом по управлению муниципальным имуществом администрации Лужского муниципального района заведующий</w:t>
        <w:tab/>
        <w:t>юридическим</w:t>
        <w:tab/>
        <w:t>отделом</w:t>
      </w:r>
    </w:p>
    <w:p>
      <w:pPr>
        <w:pStyle w:val="Style4"/>
        <w:keepNext w:val="0"/>
        <w:keepLines w:val="0"/>
        <w:framePr w:w="9826" w:h="4762" w:hRule="exact" w:wrap="none" w:vAnchor="page" w:hAnchor="page" w:x="1158" w:y="2745"/>
        <w:widowControl w:val="0"/>
        <w:shd w:val="clear" w:color="auto" w:fill="auto"/>
        <w:tabs>
          <w:tab w:pos="2441" w:val="left"/>
          <w:tab w:pos="4258" w:val="left"/>
        </w:tabs>
        <w:bidi w:val="0"/>
        <w:spacing w:before="0" w:after="0" w:line="240" w:lineRule="auto"/>
        <w:ind w:left="5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администрации Лужского муниципального района заместитель</w:t>
        <w:tab/>
        <w:t>председателя</w:t>
        <w:tab/>
        <w:t>комитета</w:t>
      </w:r>
    </w:p>
    <w:p>
      <w:pPr>
        <w:pStyle w:val="Style4"/>
        <w:keepNext w:val="0"/>
        <w:keepLines w:val="0"/>
        <w:framePr w:w="9826" w:h="4762" w:hRule="exact" w:wrap="none" w:vAnchor="page" w:hAnchor="page" w:x="1158" w:y="2745"/>
        <w:widowControl w:val="0"/>
        <w:shd w:val="clear" w:color="auto" w:fill="auto"/>
        <w:bidi w:val="0"/>
        <w:spacing w:before="0" w:after="0" w:line="240" w:lineRule="auto"/>
        <w:ind w:left="5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социальной защиты населения администрации Лужского муниципального района директор муниципального учреждения «Центр социального обслуживания граждан пожилого возраста и инвалидов»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320"/>
      <w:ind w:firstLine="7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