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F0" w:rsidRPr="003811F5" w:rsidRDefault="00E722F0" w:rsidP="00E722F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0BC1C8F2" wp14:editId="244697E6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2F0" w:rsidRPr="00DF0758" w:rsidRDefault="00E722F0" w:rsidP="00E722F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722F0" w:rsidRPr="003811F5" w:rsidRDefault="00E722F0" w:rsidP="00E722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E722F0" w:rsidRPr="003811F5" w:rsidRDefault="00E722F0" w:rsidP="00E722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E722F0" w:rsidRDefault="00E722F0" w:rsidP="00E722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E722F0" w:rsidRPr="003811F5" w:rsidRDefault="00E722F0" w:rsidP="00E722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E722F0" w:rsidRPr="003811F5" w:rsidRDefault="00E722F0" w:rsidP="00E722F0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E722F0" w:rsidRDefault="00E722F0" w:rsidP="00E722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E722F0" w:rsidRPr="00FC303C" w:rsidRDefault="00E722F0" w:rsidP="00E722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E722F0" w:rsidRDefault="00E722F0" w:rsidP="00E722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2022 года    № 1</w:t>
      </w:r>
      <w:r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722F0" w:rsidRDefault="00E722F0" w:rsidP="00E722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E722F0" w:rsidRPr="00F206D7" w:rsidRDefault="00E722F0" w:rsidP="00E722F0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E1DEF" wp14:editId="410F2953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E722F0" w:rsidRPr="00E722F0" w:rsidRDefault="00E722F0" w:rsidP="00E722F0">
      <w:pPr>
        <w:pStyle w:val="2"/>
        <w:tabs>
          <w:tab w:val="left" w:pos="-7655"/>
          <w:tab w:val="left" w:pos="-7513"/>
          <w:tab w:val="left" w:pos="0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22F0">
        <w:rPr>
          <w:rFonts w:ascii="Times New Roman" w:hAnsi="Times New Roman" w:cs="Times New Roman"/>
          <w:noProof/>
          <w:sz w:val="28"/>
          <w:szCs w:val="28"/>
        </w:rPr>
        <w:t>О внесении дополнений в прогнозный план (программу) приватизации муниципального имущества, находящегося в собственности муниципального образования Лужское городское поселение Лужского муниципального района Ленинградской области, на 2021-2023 гг.</w:t>
      </w:r>
    </w:p>
    <w:p w:rsidR="00E722F0" w:rsidRPr="00106998" w:rsidRDefault="00E722F0" w:rsidP="00E722F0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E722F0" w:rsidRPr="00E722F0" w:rsidRDefault="00E722F0" w:rsidP="00E722F0">
      <w:pPr>
        <w:spacing w:after="0" w:line="240" w:lineRule="auto"/>
        <w:jc w:val="both"/>
        <w:rPr>
          <w:rFonts w:ascii="Times New Roman" w:hAnsi="Times New Roman"/>
          <w:spacing w:val="60"/>
          <w:sz w:val="28"/>
          <w:szCs w:val="28"/>
        </w:rPr>
      </w:pPr>
      <w:r w:rsidRPr="00E722F0">
        <w:rPr>
          <w:rFonts w:ascii="Times New Roman" w:hAnsi="Times New Roman"/>
          <w:sz w:val="28"/>
          <w:szCs w:val="28"/>
        </w:rPr>
        <w:tab/>
      </w:r>
      <w:proofErr w:type="gramStart"/>
      <w:r w:rsidRPr="00E722F0">
        <w:rPr>
          <w:rFonts w:ascii="Times New Roman" w:hAnsi="Times New Roman"/>
          <w:sz w:val="28"/>
          <w:szCs w:val="28"/>
        </w:rPr>
        <w:t>В связи с наличием неиспользуем</w:t>
      </w:r>
      <w:r>
        <w:rPr>
          <w:rFonts w:ascii="Times New Roman" w:hAnsi="Times New Roman"/>
          <w:sz w:val="28"/>
          <w:szCs w:val="28"/>
        </w:rPr>
        <w:t>ых</w:t>
      </w:r>
      <w:r w:rsidRPr="00E722F0">
        <w:rPr>
          <w:rFonts w:ascii="Times New Roman" w:hAnsi="Times New Roman"/>
          <w:sz w:val="28"/>
          <w:szCs w:val="28"/>
        </w:rPr>
        <w:t xml:space="preserve"> объект</w:t>
      </w:r>
      <w:r>
        <w:rPr>
          <w:rFonts w:ascii="Times New Roman" w:hAnsi="Times New Roman"/>
          <w:sz w:val="28"/>
          <w:szCs w:val="28"/>
        </w:rPr>
        <w:t>ов</w:t>
      </w:r>
      <w:r w:rsidRPr="00E722F0">
        <w:rPr>
          <w:rFonts w:ascii="Times New Roman" w:hAnsi="Times New Roman"/>
          <w:sz w:val="28"/>
          <w:szCs w:val="28"/>
        </w:rPr>
        <w:t xml:space="preserve"> недвижимости муниципальной собственности муниципального образования </w:t>
      </w:r>
      <w:proofErr w:type="spellStart"/>
      <w:r w:rsidRPr="00E722F0">
        <w:rPr>
          <w:rFonts w:ascii="Times New Roman" w:hAnsi="Times New Roman"/>
          <w:sz w:val="28"/>
          <w:szCs w:val="28"/>
        </w:rPr>
        <w:t>Лужское</w:t>
      </w:r>
      <w:proofErr w:type="spellEnd"/>
      <w:r w:rsidRPr="00E722F0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E722F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722F0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722F0">
        <w:rPr>
          <w:rFonts w:ascii="Times New Roman" w:hAnsi="Times New Roman"/>
          <w:sz w:val="28"/>
          <w:szCs w:val="28"/>
        </w:rPr>
        <w:t>жилого помещения (квартира), признанного непригодным для проживания на основании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</w:t>
      </w:r>
      <w:proofErr w:type="gramEnd"/>
      <w:r w:rsidRPr="00E722F0">
        <w:rPr>
          <w:rFonts w:ascii="Times New Roman" w:hAnsi="Times New Roman"/>
          <w:sz w:val="28"/>
          <w:szCs w:val="28"/>
        </w:rPr>
        <w:t xml:space="preserve"> домом и жилого дома садовым домом от 03.06.2022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E722F0">
        <w:rPr>
          <w:rFonts w:ascii="Times New Roman" w:hAnsi="Times New Roman"/>
          <w:sz w:val="28"/>
          <w:szCs w:val="28"/>
        </w:rPr>
        <w:t xml:space="preserve"> № 5 Межведомственной комиссии, назначенной </w:t>
      </w:r>
      <w:r>
        <w:rPr>
          <w:rFonts w:ascii="Times New Roman" w:hAnsi="Times New Roman"/>
          <w:sz w:val="28"/>
          <w:szCs w:val="28"/>
        </w:rPr>
        <w:t>п</w:t>
      </w:r>
      <w:r w:rsidRPr="00E722F0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proofErr w:type="spellStart"/>
      <w:r w:rsidRPr="00E722F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722F0">
        <w:rPr>
          <w:rFonts w:ascii="Times New Roman" w:hAnsi="Times New Roman"/>
          <w:sz w:val="28"/>
          <w:szCs w:val="28"/>
        </w:rPr>
        <w:t xml:space="preserve"> муниципального района № 3317 от 20.10.2021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E722F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E722F0">
        <w:rPr>
          <w:rFonts w:ascii="Times New Roman" w:hAnsi="Times New Roman"/>
          <w:sz w:val="28"/>
          <w:szCs w:val="28"/>
        </w:rPr>
        <w:t>в  соответствии со статьей 10 Федерального закона от 21.12.2001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2F0">
        <w:rPr>
          <w:rFonts w:ascii="Times New Roman" w:hAnsi="Times New Roman"/>
          <w:sz w:val="28"/>
          <w:szCs w:val="28"/>
        </w:rPr>
        <w:t xml:space="preserve">г.  № 178-ФЗ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722F0">
        <w:rPr>
          <w:rFonts w:ascii="Times New Roman" w:hAnsi="Times New Roman"/>
          <w:sz w:val="28"/>
          <w:szCs w:val="28"/>
        </w:rPr>
        <w:t xml:space="preserve">«О приватизации государственного и муниципального имущества», Совет депутатов </w:t>
      </w:r>
      <w:proofErr w:type="spellStart"/>
      <w:r w:rsidRPr="00E722F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722F0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E722F0">
        <w:rPr>
          <w:rFonts w:ascii="Times New Roman" w:hAnsi="Times New Roman"/>
          <w:spacing w:val="60"/>
          <w:sz w:val="28"/>
          <w:szCs w:val="28"/>
        </w:rPr>
        <w:t>РЕШИЛ:</w:t>
      </w:r>
    </w:p>
    <w:p w:rsidR="00E722F0" w:rsidRPr="005D1ACB" w:rsidRDefault="00E722F0" w:rsidP="00E722F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722F0" w:rsidRDefault="00E722F0" w:rsidP="00E72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1AC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D1ACB">
        <w:rPr>
          <w:rFonts w:ascii="Times New Roman" w:hAnsi="Times New Roman"/>
          <w:sz w:val="28"/>
          <w:szCs w:val="28"/>
        </w:rPr>
        <w:t xml:space="preserve">Утвердить дополнения в прогнозный план (программу) приватизации муниципального имущества, находящегося в собственности муниципального образования </w:t>
      </w:r>
      <w:proofErr w:type="spellStart"/>
      <w:r w:rsidRPr="005D1ACB">
        <w:rPr>
          <w:rFonts w:ascii="Times New Roman" w:hAnsi="Times New Roman"/>
          <w:sz w:val="28"/>
          <w:szCs w:val="28"/>
        </w:rPr>
        <w:t>Лужское</w:t>
      </w:r>
      <w:proofErr w:type="spellEnd"/>
      <w:r w:rsidRPr="005D1ACB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5D1AC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D1ACB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на 2021-2023 годы», утвержденный решение</w:t>
      </w:r>
      <w:r>
        <w:rPr>
          <w:rFonts w:ascii="Times New Roman" w:hAnsi="Times New Roman"/>
          <w:sz w:val="28"/>
          <w:szCs w:val="28"/>
        </w:rPr>
        <w:t>м</w:t>
      </w:r>
      <w:r w:rsidRPr="005D1ACB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Pr="005D1AC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D1ACB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5D1AC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D1ACB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четвертого созыва от 15.12.2020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5D1ACB">
        <w:rPr>
          <w:rFonts w:ascii="Times New Roman" w:hAnsi="Times New Roman"/>
          <w:sz w:val="28"/>
          <w:szCs w:val="28"/>
        </w:rPr>
        <w:t xml:space="preserve"> № 68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5D1ACB">
        <w:rPr>
          <w:rFonts w:ascii="Times New Roman" w:hAnsi="Times New Roman"/>
          <w:sz w:val="28"/>
          <w:szCs w:val="28"/>
        </w:rPr>
        <w:t xml:space="preserve">«Об утверждении прогнозного плана (программы) приватизации муниципального имущества, находящегося в собственности муниципального образования </w:t>
      </w:r>
      <w:proofErr w:type="spellStart"/>
      <w:r w:rsidRPr="005D1ACB">
        <w:rPr>
          <w:rFonts w:ascii="Times New Roman" w:hAnsi="Times New Roman"/>
          <w:sz w:val="28"/>
          <w:szCs w:val="28"/>
        </w:rPr>
        <w:t>Лужское</w:t>
      </w:r>
      <w:proofErr w:type="spellEnd"/>
      <w:r w:rsidRPr="005D1ACB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5D1ACB">
        <w:rPr>
          <w:rFonts w:ascii="Times New Roman" w:hAnsi="Times New Roman"/>
          <w:sz w:val="28"/>
          <w:szCs w:val="28"/>
        </w:rPr>
        <w:t>Лужского</w:t>
      </w:r>
      <w:proofErr w:type="spellEnd"/>
      <w:proofErr w:type="gramEnd"/>
      <w:r w:rsidRPr="005D1ACB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на 2021-2023 годы», согласно приложению.</w:t>
      </w:r>
    </w:p>
    <w:p w:rsidR="00E722F0" w:rsidRPr="005D1ACB" w:rsidRDefault="00E722F0" w:rsidP="00E722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22F0" w:rsidRPr="005D1ACB" w:rsidRDefault="00E722F0" w:rsidP="00E722F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5D1ACB">
        <w:rPr>
          <w:rFonts w:ascii="Times New Roman" w:hAnsi="Times New Roman"/>
          <w:sz w:val="28"/>
          <w:szCs w:val="28"/>
        </w:rPr>
        <w:lastRenderedPageBreak/>
        <w:t>2. Решение подлежит официальному опубликованию.</w:t>
      </w:r>
    </w:p>
    <w:p w:rsidR="00E722F0" w:rsidRPr="005D1ACB" w:rsidRDefault="00E722F0" w:rsidP="00E722F0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5D1AC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D1A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1ACB">
        <w:rPr>
          <w:rFonts w:ascii="Times New Roman" w:hAnsi="Times New Roman"/>
          <w:sz w:val="28"/>
          <w:szCs w:val="28"/>
        </w:rPr>
        <w:t xml:space="preserve"> исполнением решения возложить на главу администрации </w:t>
      </w:r>
      <w:proofErr w:type="spellStart"/>
      <w:r w:rsidRPr="005D1AC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D1ACB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Ю.В. </w:t>
      </w:r>
      <w:proofErr w:type="spellStart"/>
      <w:r w:rsidRPr="005D1ACB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5D1ACB">
        <w:rPr>
          <w:rFonts w:ascii="Times New Roman" w:hAnsi="Times New Roman"/>
          <w:sz w:val="28"/>
          <w:szCs w:val="28"/>
        </w:rPr>
        <w:t>.</w:t>
      </w:r>
    </w:p>
    <w:p w:rsidR="00E722F0" w:rsidRPr="00106998" w:rsidRDefault="00E722F0" w:rsidP="00E722F0">
      <w:pPr>
        <w:spacing w:after="0" w:line="240" w:lineRule="auto"/>
        <w:ind w:firstLine="700"/>
        <w:jc w:val="both"/>
        <w:rPr>
          <w:rFonts w:ascii="Times New Roman" w:hAnsi="Times New Roman"/>
          <w:sz w:val="16"/>
          <w:szCs w:val="16"/>
        </w:rPr>
      </w:pPr>
    </w:p>
    <w:p w:rsidR="00E722F0" w:rsidRPr="00FC303C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E722F0" w:rsidRPr="00FC303C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В.А. Голуб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ind w:left="1418" w:hanging="1418"/>
        <w:jc w:val="both"/>
      </w:pPr>
      <w:r>
        <w:rPr>
          <w:rFonts w:ascii="Times New Roman" w:hAnsi="Times New Roman"/>
          <w:sz w:val="28"/>
          <w:szCs w:val="28"/>
        </w:rPr>
        <w:t>Разослано: КУМИ – 2 экз.,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  <w:r w:rsidRPr="00513042">
        <w:rPr>
          <w:rFonts w:ascii="Times New Roman" w:hAnsi="Times New Roman"/>
          <w:sz w:val="28"/>
          <w:szCs w:val="28"/>
        </w:rPr>
        <w:t>прокуратура.</w:t>
      </w: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Default="00E722F0" w:rsidP="00E72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22F0" w:rsidRPr="00106998" w:rsidRDefault="00E722F0" w:rsidP="00E722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6998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E722F0" w:rsidRDefault="00E722F0" w:rsidP="00E722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решением Совета депутатов</w:t>
      </w:r>
    </w:p>
    <w:p w:rsidR="00E722F0" w:rsidRDefault="00E722F0" w:rsidP="00E722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E722F0" w:rsidRDefault="00E722F0" w:rsidP="00E722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</w:t>
      </w:r>
      <w:r w:rsidR="002171B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</w:t>
      </w:r>
      <w:r w:rsidR="002171B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.2022  № 1</w:t>
      </w:r>
      <w:r w:rsidR="002171B6">
        <w:rPr>
          <w:rFonts w:ascii="Times New Roman" w:hAnsi="Times New Roman"/>
          <w:sz w:val="24"/>
          <w:szCs w:val="24"/>
        </w:rPr>
        <w:t>60</w:t>
      </w:r>
    </w:p>
    <w:p w:rsidR="00E722F0" w:rsidRDefault="00E722F0" w:rsidP="00E722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(приложение)</w:t>
      </w:r>
    </w:p>
    <w:p w:rsidR="00E722F0" w:rsidRDefault="00E722F0" w:rsidP="00E722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22F0" w:rsidRDefault="00E722F0" w:rsidP="00E722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22F0" w:rsidRPr="00C752AB" w:rsidRDefault="00E722F0" w:rsidP="00E722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52AB">
        <w:rPr>
          <w:rFonts w:ascii="Times New Roman" w:hAnsi="Times New Roman"/>
          <w:sz w:val="28"/>
          <w:szCs w:val="28"/>
        </w:rPr>
        <w:t>Дополнения в прогнозный план (программу)</w:t>
      </w:r>
    </w:p>
    <w:p w:rsidR="00E722F0" w:rsidRPr="00C752AB" w:rsidRDefault="00E722F0" w:rsidP="00E722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52AB">
        <w:rPr>
          <w:rFonts w:ascii="Times New Roman" w:hAnsi="Times New Roman"/>
          <w:sz w:val="28"/>
          <w:szCs w:val="28"/>
        </w:rPr>
        <w:t>приватизации муниципального имущества,</w:t>
      </w:r>
    </w:p>
    <w:p w:rsidR="00E722F0" w:rsidRPr="00C752AB" w:rsidRDefault="00E722F0" w:rsidP="00E722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52AB">
        <w:rPr>
          <w:rFonts w:ascii="Times New Roman" w:hAnsi="Times New Roman"/>
          <w:sz w:val="28"/>
          <w:szCs w:val="28"/>
        </w:rPr>
        <w:t xml:space="preserve">находящегося в собственности муниципального образования </w:t>
      </w:r>
    </w:p>
    <w:p w:rsidR="00E722F0" w:rsidRPr="00C752AB" w:rsidRDefault="00E722F0" w:rsidP="00E722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752AB">
        <w:rPr>
          <w:rFonts w:ascii="Times New Roman" w:hAnsi="Times New Roman"/>
          <w:sz w:val="28"/>
          <w:szCs w:val="28"/>
        </w:rPr>
        <w:t>Лужское</w:t>
      </w:r>
      <w:proofErr w:type="spellEnd"/>
      <w:r w:rsidRPr="00C752AB">
        <w:rPr>
          <w:rFonts w:ascii="Times New Roman" w:hAnsi="Times New Roman"/>
          <w:sz w:val="28"/>
          <w:szCs w:val="28"/>
        </w:rPr>
        <w:t xml:space="preserve"> городское поселение </w:t>
      </w:r>
    </w:p>
    <w:p w:rsidR="00E722F0" w:rsidRPr="00C752AB" w:rsidRDefault="00E722F0" w:rsidP="00E722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752A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752AB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</w:t>
      </w:r>
    </w:p>
    <w:p w:rsidR="00E722F0" w:rsidRPr="00C752AB" w:rsidRDefault="00E722F0" w:rsidP="00E722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52AB">
        <w:rPr>
          <w:rFonts w:ascii="Times New Roman" w:hAnsi="Times New Roman"/>
          <w:sz w:val="28"/>
          <w:szCs w:val="28"/>
        </w:rPr>
        <w:t>на 2021-2023 гг.</w:t>
      </w:r>
    </w:p>
    <w:p w:rsidR="00E722F0" w:rsidRPr="00F33606" w:rsidRDefault="00E722F0" w:rsidP="00E722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3402"/>
        <w:gridCol w:w="1275"/>
        <w:gridCol w:w="2268"/>
      </w:tblGrid>
      <w:tr w:rsidR="00E722F0" w:rsidRPr="00C752AB" w:rsidTr="002171B6">
        <w:trPr>
          <w:trHeight w:val="794"/>
        </w:trPr>
        <w:tc>
          <w:tcPr>
            <w:tcW w:w="710" w:type="dxa"/>
          </w:tcPr>
          <w:p w:rsidR="00E722F0" w:rsidRPr="00C752AB" w:rsidRDefault="00E722F0" w:rsidP="002171B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4"/>
                <w:szCs w:val="24"/>
              </w:rPr>
            </w:pPr>
            <w:r w:rsidRPr="00C752A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752AB">
              <w:rPr>
                <w:b/>
                <w:sz w:val="24"/>
                <w:szCs w:val="24"/>
              </w:rPr>
              <w:t>п</w:t>
            </w:r>
            <w:proofErr w:type="gramEnd"/>
            <w:r w:rsidRPr="00C752A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E722F0" w:rsidRPr="00C752AB" w:rsidRDefault="00E722F0" w:rsidP="00912D13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4"/>
                <w:szCs w:val="24"/>
              </w:rPr>
            </w:pPr>
            <w:r w:rsidRPr="00C752AB">
              <w:rPr>
                <w:b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3402" w:type="dxa"/>
          </w:tcPr>
          <w:p w:rsidR="00E722F0" w:rsidRPr="00C752AB" w:rsidRDefault="00E722F0" w:rsidP="00912D13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4"/>
                <w:szCs w:val="24"/>
              </w:rPr>
            </w:pPr>
            <w:r w:rsidRPr="00C752AB">
              <w:rPr>
                <w:b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1275" w:type="dxa"/>
          </w:tcPr>
          <w:p w:rsidR="00E722F0" w:rsidRPr="00C752AB" w:rsidRDefault="00E722F0" w:rsidP="00912D13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4"/>
                <w:szCs w:val="24"/>
              </w:rPr>
            </w:pPr>
            <w:r w:rsidRPr="00C752AB">
              <w:rPr>
                <w:b/>
                <w:sz w:val="24"/>
                <w:szCs w:val="24"/>
              </w:rPr>
              <w:t>Общая площадь кв.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752AB">
              <w:rPr>
                <w:b/>
                <w:sz w:val="24"/>
                <w:szCs w:val="24"/>
              </w:rPr>
              <w:t xml:space="preserve">м </w:t>
            </w:r>
          </w:p>
        </w:tc>
        <w:tc>
          <w:tcPr>
            <w:tcW w:w="2268" w:type="dxa"/>
          </w:tcPr>
          <w:p w:rsidR="00E722F0" w:rsidRPr="00C752AB" w:rsidRDefault="00E722F0" w:rsidP="002171B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4"/>
                <w:szCs w:val="24"/>
              </w:rPr>
            </w:pPr>
            <w:r w:rsidRPr="00C752AB">
              <w:rPr>
                <w:b/>
                <w:sz w:val="24"/>
                <w:szCs w:val="24"/>
              </w:rPr>
              <w:t>Номер и дата паспорта БТИ, кадастровый или  условный номер</w:t>
            </w:r>
          </w:p>
          <w:p w:rsidR="00E722F0" w:rsidRPr="00C752AB" w:rsidRDefault="00E722F0" w:rsidP="002171B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171B6" w:rsidRPr="00576722" w:rsidTr="002171B6">
        <w:tc>
          <w:tcPr>
            <w:tcW w:w="710" w:type="dxa"/>
          </w:tcPr>
          <w:p w:rsidR="002171B6" w:rsidRPr="00576722" w:rsidRDefault="002171B6" w:rsidP="00217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72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410" w:type="dxa"/>
          </w:tcPr>
          <w:p w:rsidR="002171B6" w:rsidRPr="00576722" w:rsidRDefault="002171B6" w:rsidP="00912D1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Жилое помещение (квартира)</w:t>
            </w:r>
          </w:p>
        </w:tc>
        <w:tc>
          <w:tcPr>
            <w:tcW w:w="3402" w:type="dxa"/>
          </w:tcPr>
          <w:p w:rsidR="002171B6" w:rsidRDefault="002171B6" w:rsidP="00912D1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Ленинградская обл.,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г. Луга, пер. Гатчинский, д. 2, кв. 3</w:t>
            </w:r>
            <w:proofErr w:type="gramEnd"/>
          </w:p>
          <w:p w:rsidR="002171B6" w:rsidRPr="002171B6" w:rsidRDefault="002171B6" w:rsidP="00912D1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171B6" w:rsidRPr="00576722" w:rsidRDefault="002171B6" w:rsidP="00912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2268" w:type="dxa"/>
          </w:tcPr>
          <w:p w:rsidR="002171B6" w:rsidRPr="00576722" w:rsidRDefault="002171B6" w:rsidP="00217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47:29:0105014:332</w:t>
            </w:r>
          </w:p>
        </w:tc>
      </w:tr>
      <w:tr w:rsidR="002171B6" w:rsidRPr="00C752AB" w:rsidTr="002171B6">
        <w:tc>
          <w:tcPr>
            <w:tcW w:w="710" w:type="dxa"/>
          </w:tcPr>
          <w:p w:rsidR="002171B6" w:rsidRPr="00576722" w:rsidRDefault="002171B6" w:rsidP="00217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722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410" w:type="dxa"/>
          </w:tcPr>
          <w:p w:rsidR="002171B6" w:rsidRPr="00576722" w:rsidRDefault="002171B6" w:rsidP="00912D1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1/2 доли жилого дома с надворными постройками</w:t>
            </w:r>
          </w:p>
        </w:tc>
        <w:tc>
          <w:tcPr>
            <w:tcW w:w="3402" w:type="dxa"/>
          </w:tcPr>
          <w:p w:rsidR="002171B6" w:rsidRDefault="002171B6" w:rsidP="00912D1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Ленинградская обл.,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г. Луга,               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Солецкая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д. 29</w:t>
            </w:r>
          </w:p>
          <w:p w:rsidR="002171B6" w:rsidRPr="002171B6" w:rsidRDefault="002171B6" w:rsidP="00912D1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171B6" w:rsidRPr="00576722" w:rsidRDefault="002171B6" w:rsidP="00912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126,8</w:t>
            </w:r>
          </w:p>
        </w:tc>
        <w:tc>
          <w:tcPr>
            <w:tcW w:w="2268" w:type="dxa"/>
          </w:tcPr>
          <w:p w:rsidR="002171B6" w:rsidRPr="00576722" w:rsidRDefault="002171B6" w:rsidP="00217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47:29:0103015:290</w:t>
            </w:r>
          </w:p>
        </w:tc>
      </w:tr>
      <w:tr w:rsidR="002171B6" w:rsidRPr="00C752AB" w:rsidTr="002171B6">
        <w:tc>
          <w:tcPr>
            <w:tcW w:w="710" w:type="dxa"/>
          </w:tcPr>
          <w:p w:rsidR="002171B6" w:rsidRPr="00576722" w:rsidRDefault="002171B6" w:rsidP="00217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410" w:type="dxa"/>
          </w:tcPr>
          <w:p w:rsidR="002171B6" w:rsidRDefault="002171B6" w:rsidP="00912D1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1/2 доли  земельного участка</w:t>
            </w:r>
          </w:p>
        </w:tc>
        <w:tc>
          <w:tcPr>
            <w:tcW w:w="3402" w:type="dxa"/>
          </w:tcPr>
          <w:p w:rsidR="002171B6" w:rsidRDefault="002171B6" w:rsidP="00912D1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Ленинградская обл.,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г. Луга,               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Солецкая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д. 29</w:t>
            </w:r>
          </w:p>
          <w:p w:rsidR="002171B6" w:rsidRPr="002171B6" w:rsidRDefault="002171B6" w:rsidP="00912D1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171B6" w:rsidRDefault="002171B6" w:rsidP="00912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1200</w:t>
            </w:r>
          </w:p>
        </w:tc>
        <w:tc>
          <w:tcPr>
            <w:tcW w:w="2268" w:type="dxa"/>
          </w:tcPr>
          <w:p w:rsidR="002171B6" w:rsidRDefault="002171B6" w:rsidP="00217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47:29:0103015:33</w:t>
            </w:r>
          </w:p>
        </w:tc>
      </w:tr>
      <w:tr w:rsidR="002171B6" w:rsidRPr="00C752AB" w:rsidTr="002171B6">
        <w:tc>
          <w:tcPr>
            <w:tcW w:w="710" w:type="dxa"/>
          </w:tcPr>
          <w:p w:rsidR="002171B6" w:rsidRDefault="002171B6" w:rsidP="00217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410" w:type="dxa"/>
          </w:tcPr>
          <w:p w:rsidR="002171B6" w:rsidRDefault="002171B6" w:rsidP="00912D1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Жилой дом</w:t>
            </w:r>
          </w:p>
        </w:tc>
        <w:tc>
          <w:tcPr>
            <w:tcW w:w="3402" w:type="dxa"/>
          </w:tcPr>
          <w:p w:rsidR="002171B6" w:rsidRDefault="002171B6" w:rsidP="00912D1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Ленинградская обл.,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г. Луга,              ул. Нижегородская,    д. 58</w:t>
            </w:r>
          </w:p>
          <w:p w:rsidR="002171B6" w:rsidRPr="002171B6" w:rsidRDefault="002171B6" w:rsidP="00912D1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171B6" w:rsidRDefault="002171B6" w:rsidP="00912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67,2</w:t>
            </w:r>
          </w:p>
        </w:tc>
        <w:tc>
          <w:tcPr>
            <w:tcW w:w="2268" w:type="dxa"/>
          </w:tcPr>
          <w:p w:rsidR="002171B6" w:rsidRDefault="002171B6" w:rsidP="00217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47:29:0105010:595</w:t>
            </w:r>
          </w:p>
        </w:tc>
      </w:tr>
      <w:tr w:rsidR="002171B6" w:rsidRPr="00C752AB" w:rsidTr="002171B6">
        <w:tc>
          <w:tcPr>
            <w:tcW w:w="710" w:type="dxa"/>
          </w:tcPr>
          <w:p w:rsidR="002171B6" w:rsidRDefault="002171B6" w:rsidP="00217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2410" w:type="dxa"/>
          </w:tcPr>
          <w:p w:rsidR="002171B6" w:rsidRDefault="002171B6" w:rsidP="00912D1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Земельный участок</w:t>
            </w:r>
          </w:p>
        </w:tc>
        <w:tc>
          <w:tcPr>
            <w:tcW w:w="3402" w:type="dxa"/>
          </w:tcPr>
          <w:p w:rsidR="002171B6" w:rsidRDefault="002171B6" w:rsidP="00912D1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Ленинградская обл.,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район, г. Луга,              ул. Нижегородская,    д. 58</w:t>
            </w:r>
          </w:p>
          <w:p w:rsidR="002171B6" w:rsidRPr="002171B6" w:rsidRDefault="002171B6" w:rsidP="00912D1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2171B6" w:rsidRDefault="002171B6" w:rsidP="00912D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1200</w:t>
            </w:r>
          </w:p>
        </w:tc>
        <w:tc>
          <w:tcPr>
            <w:tcW w:w="2268" w:type="dxa"/>
          </w:tcPr>
          <w:p w:rsidR="002171B6" w:rsidRDefault="002171B6" w:rsidP="002171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47:29:0105010:68</w:t>
            </w:r>
          </w:p>
        </w:tc>
      </w:tr>
    </w:tbl>
    <w:p w:rsidR="00E722F0" w:rsidRDefault="00E722F0" w:rsidP="00B57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722F0" w:rsidSect="00106998">
      <w:pgSz w:w="11906" w:h="16838"/>
      <w:pgMar w:top="56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F0"/>
    <w:rsid w:val="002171B6"/>
    <w:rsid w:val="005775ED"/>
    <w:rsid w:val="00786F15"/>
    <w:rsid w:val="00B57571"/>
    <w:rsid w:val="00E7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722F0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E722F0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E72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rsid w:val="00E722F0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7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2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72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722F0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E722F0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E72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rsid w:val="00E722F0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E7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2F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72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593</Words>
  <Characters>3382</Characters>
  <Application>Microsoft Office Word</Application>
  <DocSecurity>0</DocSecurity>
  <Lines>28</Lines>
  <Paragraphs>7</Paragraphs>
  <ScaleCrop>false</ScaleCrop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3</cp:revision>
  <dcterms:created xsi:type="dcterms:W3CDTF">2022-09-19T11:00:00Z</dcterms:created>
  <dcterms:modified xsi:type="dcterms:W3CDTF">2022-09-19T11:26:00Z</dcterms:modified>
</cp:coreProperties>
</file>