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DE3ED31" wp14:editId="0C0F516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462" w:rsidRPr="00E24E2B" w:rsidRDefault="00F54462" w:rsidP="00F5446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54462" w:rsidRPr="00C2381C" w:rsidRDefault="00F54462" w:rsidP="00F5446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F54462" w:rsidRDefault="00F54462" w:rsidP="00F54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F54462" w:rsidRDefault="00F54462" w:rsidP="00F54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18 октября</w:t>
      </w:r>
      <w:r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№  1</w:t>
      </w:r>
      <w:r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4462" w:rsidRDefault="00F54462" w:rsidP="00F54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F54462" w:rsidRDefault="00F54462" w:rsidP="00F5446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F54462" w:rsidRPr="002306D6" w:rsidRDefault="00F54462" w:rsidP="00F54462">
      <w:pPr>
        <w:tabs>
          <w:tab w:val="left" w:pos="-7797"/>
        </w:tabs>
        <w:spacing w:after="0" w:line="240" w:lineRule="auto"/>
        <w:ind w:left="851" w:right="41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1FB9C" wp14:editId="410E75CD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 поселения от 26.11.2019 г. № 19 «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  территории муниципального образования Лужское городское поселение Лужского муниципального района Ленинградской области налога на имущество физических лиц</w:t>
      </w:r>
      <w:r>
        <w:rPr>
          <w:rFonts w:ascii="Times New Roman" w:hAnsi="Times New Roman"/>
          <w:noProof/>
          <w:sz w:val="28"/>
          <w:szCs w:val="28"/>
        </w:rPr>
        <w:t>»</w:t>
      </w:r>
    </w:p>
    <w:p w:rsidR="00F54462" w:rsidRDefault="00F54462" w:rsidP="00F54462">
      <w:pPr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</w:p>
    <w:p w:rsidR="00F54462" w:rsidRDefault="00F54462" w:rsidP="00F54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6DF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Pr="000E46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0E46DF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131-ФЗ     </w:t>
      </w:r>
      <w:r w:rsidRPr="000E46D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главой 32 </w:t>
      </w:r>
      <w:r w:rsidRPr="000E46DF">
        <w:rPr>
          <w:rFonts w:ascii="Times New Roman" w:hAnsi="Times New Roman"/>
          <w:sz w:val="28"/>
          <w:szCs w:val="28"/>
        </w:rPr>
        <w:t>Налогов</w:t>
      </w:r>
      <w:r>
        <w:rPr>
          <w:rFonts w:ascii="Times New Roman" w:hAnsi="Times New Roman"/>
          <w:sz w:val="28"/>
          <w:szCs w:val="28"/>
        </w:rPr>
        <w:t>ого</w:t>
      </w:r>
      <w:r w:rsidRPr="000E46DF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0E46DF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Законом Ленинградской области от 29.10.2015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102-</w:t>
      </w:r>
      <w:r w:rsidRPr="00C43207">
        <w:rPr>
          <w:rFonts w:ascii="Times New Roman" w:hAnsi="Times New Roman"/>
          <w:sz w:val="28"/>
          <w:szCs w:val="28"/>
        </w:rPr>
        <w:t>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объекта налогообложения", руководствуясь письмом Губернатора Ленинградской области</w:t>
      </w:r>
      <w:proofErr w:type="gramEnd"/>
      <w:r w:rsidRPr="00C43207">
        <w:rPr>
          <w:rFonts w:ascii="Times New Roman" w:hAnsi="Times New Roman"/>
          <w:sz w:val="28"/>
          <w:szCs w:val="28"/>
        </w:rPr>
        <w:t xml:space="preserve"> от 06.05.2022 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C43207">
        <w:rPr>
          <w:rFonts w:ascii="Times New Roman" w:hAnsi="Times New Roman"/>
          <w:sz w:val="28"/>
          <w:szCs w:val="28"/>
        </w:rPr>
        <w:t xml:space="preserve"> 041-562/2022, о снижении финансовой нагрузки на жителей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0E46DF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F54462" w:rsidRDefault="00F54462" w:rsidP="00F544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пункт 2</w:t>
      </w:r>
      <w:r w:rsidRPr="00C43207">
        <w:rPr>
          <w:rFonts w:ascii="Times New Roman" w:hAnsi="Times New Roman"/>
          <w:bCs/>
          <w:sz w:val="28"/>
          <w:szCs w:val="28"/>
        </w:rPr>
        <w:t xml:space="preserve"> решени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43207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proofErr w:type="spellStart"/>
      <w:r w:rsidRPr="00C4320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43207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Pr="00C43207">
        <w:rPr>
          <w:rFonts w:ascii="Times New Roman" w:hAnsi="Times New Roman"/>
          <w:noProof/>
          <w:sz w:val="28"/>
          <w:szCs w:val="28"/>
        </w:rPr>
        <w:t>от 26.11.2019 г. № 1</w:t>
      </w:r>
      <w:r>
        <w:rPr>
          <w:rFonts w:ascii="Times New Roman" w:hAnsi="Times New Roman"/>
          <w:noProof/>
          <w:sz w:val="28"/>
          <w:szCs w:val="28"/>
        </w:rPr>
        <w:t>9</w:t>
      </w:r>
      <w:r w:rsidRPr="00C43207">
        <w:rPr>
          <w:rFonts w:ascii="Times New Roman" w:hAnsi="Times New Roman"/>
          <w:noProof/>
          <w:sz w:val="28"/>
          <w:szCs w:val="28"/>
        </w:rPr>
        <w:t xml:space="preserve"> «Об установлении на территории муниципального образования Лужское городское поселение Лужского муниципального района Ленинградской области </w:t>
      </w:r>
      <w:r>
        <w:rPr>
          <w:rFonts w:ascii="Times New Roman" w:hAnsi="Times New Roman"/>
          <w:noProof/>
          <w:sz w:val="28"/>
          <w:szCs w:val="28"/>
        </w:rPr>
        <w:t>налога на имущество физических лиц</w:t>
      </w:r>
      <w:r w:rsidRPr="00C43207">
        <w:rPr>
          <w:rFonts w:ascii="Times New Roman" w:hAnsi="Times New Roman"/>
          <w:noProof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F54462" w:rsidRPr="00C43207" w:rsidRDefault="00F54462" w:rsidP="00F54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«2. </w:t>
      </w:r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 на территории муниципального образования </w:t>
      </w:r>
      <w:proofErr w:type="spellStart"/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>Лужское</w:t>
      </w:r>
      <w:proofErr w:type="spellEnd"/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городское поселение </w:t>
      </w:r>
      <w:proofErr w:type="spellStart"/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>Лужского</w:t>
      </w:r>
      <w:proofErr w:type="spellEnd"/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Ленинградской области следующие ставки </w:t>
      </w:r>
      <w:proofErr w:type="gramStart"/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>налога</w:t>
      </w:r>
      <w:proofErr w:type="gramEnd"/>
      <w:r w:rsidRPr="00C43207">
        <w:rPr>
          <w:rFonts w:ascii="Times New Roman" w:eastAsiaTheme="minorHAnsi" w:hAnsi="Times New Roman"/>
          <w:sz w:val="28"/>
          <w:szCs w:val="28"/>
          <w:lang w:eastAsia="en-US"/>
        </w:rPr>
        <w:t xml:space="preserve"> на имущество физических лиц исходя из кадастровой стоимости объекта налогообложения:</w:t>
      </w:r>
    </w:p>
    <w:p w:rsidR="00F54462" w:rsidRPr="005C2ADB" w:rsidRDefault="00F54462" w:rsidP="00F544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2126"/>
      </w:tblGrid>
      <w:tr w:rsidR="00F54462" w:rsidRPr="00F54462" w:rsidTr="00EC01B1">
        <w:trPr>
          <w:trHeight w:val="680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F54462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46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F54462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4462">
              <w:rPr>
                <w:rFonts w:ascii="Times New Roman" w:hAnsi="Times New Roman"/>
                <w:b/>
                <w:sz w:val="26"/>
                <w:szCs w:val="26"/>
              </w:rPr>
              <w:t>Ставка налога на имущество физических лиц, проценты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565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Жилы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565F28">
              <w:rPr>
                <w:rFonts w:ascii="Times New Roman" w:hAnsi="Times New Roman"/>
                <w:sz w:val="28"/>
                <w:szCs w:val="28"/>
              </w:rPr>
              <w:t>и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жилых домов</w:t>
            </w:r>
            <w:r>
              <w:rPr>
                <w:rFonts w:ascii="Times New Roman" w:hAnsi="Times New Roman"/>
                <w:sz w:val="28"/>
                <w:szCs w:val="28"/>
              </w:rPr>
              <w:t>, к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вартир</w:t>
            </w:r>
            <w:r w:rsidR="00565F28">
              <w:rPr>
                <w:rFonts w:ascii="Times New Roman" w:hAnsi="Times New Roman"/>
                <w:sz w:val="28"/>
                <w:szCs w:val="28"/>
              </w:rPr>
              <w:t>ы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, част</w:t>
            </w:r>
            <w:r w:rsidR="00565F28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квартир, комнат</w:t>
            </w:r>
            <w:r w:rsidR="00565F2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 xml:space="preserve">Объекты незавершенного строительства </w:t>
            </w:r>
            <w:r w:rsidR="00565F2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в случае, если проектируемым назначением таких объектов является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5C2ADB" w:rsidRDefault="00F54462" w:rsidP="00565F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r w:rsidRPr="005C2ADB">
              <w:rPr>
                <w:rFonts w:ascii="Times New Roman" w:hAnsi="Times New Roman"/>
                <w:sz w:val="28"/>
                <w:szCs w:val="28"/>
              </w:rPr>
              <w:t>машино</w:t>
            </w:r>
            <w:proofErr w:type="spellEnd"/>
            <w:r w:rsidRPr="005C2ADB">
              <w:rPr>
                <w:rFonts w:ascii="Times New Roman" w:hAnsi="Times New Roman"/>
                <w:sz w:val="28"/>
                <w:szCs w:val="28"/>
              </w:rPr>
              <w:t>-места, в том числе расположенны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в объектах налогообложения, указанных в подпункте </w:t>
            </w:r>
            <w:r w:rsidR="00565F28">
              <w:rPr>
                <w:rFonts w:ascii="Times New Roman" w:hAnsi="Times New Roman"/>
                <w:sz w:val="28"/>
                <w:szCs w:val="28"/>
              </w:rPr>
              <w:t>1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 пункта </w:t>
            </w:r>
            <w:r w:rsidR="00565F28">
              <w:rPr>
                <w:rFonts w:ascii="Times New Roman" w:hAnsi="Times New Roman"/>
                <w:sz w:val="28"/>
                <w:szCs w:val="28"/>
              </w:rPr>
              <w:t>2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 xml:space="preserve"> статьи 406 Налогового кодекса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  <w:r w:rsidRPr="005C2ADB">
              <w:rPr>
                <w:rFonts w:ascii="Times New Roman" w:hAnsi="Times New Roman"/>
                <w:sz w:val="28"/>
                <w:szCs w:val="28"/>
              </w:rPr>
              <w:t>, 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</w:t>
            </w:r>
            <w:hyperlink r:id="rId7" w:history="1">
              <w:r w:rsidRPr="00626796">
                <w:rPr>
                  <w:rFonts w:ascii="Times New Roman" w:hAnsi="Times New Roman"/>
                  <w:sz w:val="28"/>
                  <w:szCs w:val="28"/>
                </w:rPr>
                <w:t>пунктом 7 статьи 378.2</w:t>
              </w:r>
            </w:hyperlink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Налогового кодекса РФ, в отношении объектов налогообложения, предусмотренных </w:t>
            </w:r>
            <w:hyperlink r:id="rId8" w:history="1">
              <w:r w:rsidRPr="00626796">
                <w:rPr>
                  <w:rFonts w:ascii="Times New Roman" w:hAnsi="Times New Roman"/>
                  <w:sz w:val="28"/>
                  <w:szCs w:val="28"/>
                </w:rPr>
                <w:t>абзацем вторым пункта</w:t>
              </w:r>
              <w:r w:rsidRPr="005C2ADB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 </w:t>
              </w:r>
              <w:r w:rsidRPr="00626796">
                <w:rPr>
                  <w:rFonts w:ascii="Times New Roman" w:hAnsi="Times New Roman"/>
                  <w:sz w:val="28"/>
                  <w:szCs w:val="28"/>
                </w:rPr>
                <w:t>10 статьи 378.2</w:t>
              </w:r>
            </w:hyperlink>
            <w:r w:rsidRPr="005C2ADB">
              <w:rPr>
                <w:rFonts w:ascii="Times New Roman" w:hAnsi="Times New Roman"/>
                <w:sz w:val="28"/>
                <w:szCs w:val="28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565F28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446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54462" w:rsidRPr="005C2ADB" w:rsidTr="00EC01B1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DB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62" w:rsidRPr="005C2ADB" w:rsidRDefault="00F54462" w:rsidP="00EC01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F54462" w:rsidRPr="005C2ADB" w:rsidRDefault="00F54462" w:rsidP="00F5446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556857">
        <w:rPr>
          <w:rFonts w:ascii="Times New Roman" w:hAnsi="Times New Roman"/>
          <w:sz w:val="28"/>
          <w:szCs w:val="28"/>
        </w:rPr>
        <w:t>вступает в силу с момента официального  опубликования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01.01.2022 года. </w:t>
      </w:r>
    </w:p>
    <w:p w:rsidR="00F54462" w:rsidRPr="0088163C" w:rsidRDefault="00F54462" w:rsidP="00F5446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/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462" w:rsidRDefault="00F54462" w:rsidP="00F544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565F28">
        <w:rPr>
          <w:rFonts w:ascii="Times New Roman" w:hAnsi="Times New Roman"/>
          <w:sz w:val="28"/>
          <w:szCs w:val="28"/>
        </w:rPr>
        <w:t xml:space="preserve">КУМИ – 2 экз., </w:t>
      </w:r>
      <w:r w:rsidR="00565F28">
        <w:rPr>
          <w:rFonts w:ascii="Times New Roman" w:hAnsi="Times New Roman"/>
          <w:sz w:val="28"/>
          <w:szCs w:val="28"/>
        </w:rPr>
        <w:t>ОБУ</w:t>
      </w:r>
      <w:r>
        <w:rPr>
          <w:rFonts w:ascii="Times New Roman" w:hAnsi="Times New Roman"/>
          <w:sz w:val="28"/>
          <w:szCs w:val="28"/>
        </w:rPr>
        <w:t>,</w:t>
      </w:r>
      <w:r w:rsidR="00565F28">
        <w:rPr>
          <w:rFonts w:ascii="Times New Roman" w:hAnsi="Times New Roman"/>
          <w:sz w:val="28"/>
          <w:szCs w:val="28"/>
        </w:rPr>
        <w:t xml:space="preserve"> КФ,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ред.газ</w:t>
      </w:r>
      <w:proofErr w:type="spellEnd"/>
      <w:r>
        <w:rPr>
          <w:rFonts w:ascii="Times New Roman" w:hAnsi="Times New Roman"/>
          <w:sz w:val="28"/>
          <w:szCs w:val="28"/>
        </w:rPr>
        <w:t>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99312C" w:rsidRDefault="00F54462" w:rsidP="00565F2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прокуратура</w:t>
      </w:r>
    </w:p>
    <w:sectPr w:rsidR="0099312C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9E5"/>
    <w:multiLevelType w:val="hybridMultilevel"/>
    <w:tmpl w:val="B062280C"/>
    <w:lvl w:ilvl="0" w:tplc="ECA8A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62"/>
    <w:rsid w:val="00565F28"/>
    <w:rsid w:val="005775ED"/>
    <w:rsid w:val="00786F15"/>
    <w:rsid w:val="00F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6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46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4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EF35E874BE65CFCBA6114E8A15FD71F873F145CM2e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2022-10-18T07:27:00Z</dcterms:created>
  <dcterms:modified xsi:type="dcterms:W3CDTF">2022-10-18T07:43:00Z</dcterms:modified>
</cp:coreProperties>
</file>