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96" w:rsidRDefault="00626796" w:rsidP="00626796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9319BA3" wp14:editId="1F2C820D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96" w:rsidRPr="00E24E2B" w:rsidRDefault="00626796" w:rsidP="00626796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626796" w:rsidRDefault="00626796" w:rsidP="0062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626796" w:rsidRDefault="00626796" w:rsidP="0062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26796" w:rsidRDefault="00626796" w:rsidP="0062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26796" w:rsidRDefault="00626796" w:rsidP="0062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626796" w:rsidRPr="00C2381C" w:rsidRDefault="00626796" w:rsidP="0062679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26796" w:rsidRDefault="00626796" w:rsidP="0062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626796" w:rsidRDefault="00626796" w:rsidP="00626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626796" w:rsidRDefault="00626796" w:rsidP="006267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26 ноября  2019 года       №  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6796" w:rsidRDefault="00626796" w:rsidP="006267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26796" w:rsidRDefault="00626796" w:rsidP="00626796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626796" w:rsidRPr="002306D6" w:rsidRDefault="00626796" w:rsidP="00626796">
      <w:pPr>
        <w:tabs>
          <w:tab w:val="left" w:pos="-7797"/>
        </w:tabs>
        <w:spacing w:after="0" w:line="240" w:lineRule="auto"/>
        <w:ind w:left="851" w:right="4535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5EB4B" wp14:editId="71A0430E">
                <wp:simplePos x="0" y="0"/>
                <wp:positionH relativeFrom="column">
                  <wp:posOffset>-670560</wp:posOffset>
                </wp:positionH>
                <wp:positionV relativeFrom="paragraph">
                  <wp:posOffset>44450</wp:posOffset>
                </wp:positionV>
                <wp:extent cx="89535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8pt;margin-top:3.5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установлении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на  территории муниципального образования Лужское городское поселение Лужского муниципального района Ленинградской области</w:t>
      </w:r>
      <w:r>
        <w:rPr>
          <w:rFonts w:ascii="Times New Roman" w:hAnsi="Times New Roman"/>
          <w:noProof/>
          <w:sz w:val="28"/>
          <w:szCs w:val="28"/>
        </w:rPr>
        <w:t xml:space="preserve"> налога на имущество физических лиц</w:t>
      </w:r>
    </w:p>
    <w:p w:rsidR="00626796" w:rsidRDefault="00626796" w:rsidP="00626796">
      <w:pPr>
        <w:spacing w:after="0" w:line="240" w:lineRule="auto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</w:p>
    <w:p w:rsidR="00626796" w:rsidRPr="00626796" w:rsidRDefault="00626796" w:rsidP="00626796">
      <w:pPr>
        <w:spacing w:after="0" w:line="240" w:lineRule="auto"/>
        <w:ind w:firstLine="851"/>
        <w:jc w:val="both"/>
        <w:rPr>
          <w:rFonts w:ascii="Times New Roman" w:hAnsi="Times New Roman"/>
          <w:spacing w:val="60"/>
          <w:sz w:val="28"/>
          <w:szCs w:val="28"/>
        </w:rPr>
      </w:pPr>
      <w:proofErr w:type="gramStart"/>
      <w:r w:rsidRPr="005C2AD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26796">
          <w:rPr>
            <w:rFonts w:ascii="Times New Roman" w:hAnsi="Times New Roman"/>
            <w:sz w:val="28"/>
            <w:szCs w:val="28"/>
          </w:rPr>
          <w:t>законом</w:t>
        </w:r>
      </w:hyperlink>
      <w:r w:rsidRPr="005C2ADB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C2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C2ADB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C2ADB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7" w:history="1">
        <w:r w:rsidRPr="00626796">
          <w:rPr>
            <w:rFonts w:ascii="Times New Roman" w:hAnsi="Times New Roman"/>
            <w:sz w:val="28"/>
            <w:szCs w:val="28"/>
          </w:rPr>
          <w:t>главой 32</w:t>
        </w:r>
      </w:hyperlink>
      <w:r w:rsidRPr="005C2ADB">
        <w:rPr>
          <w:rFonts w:ascii="Times New Roman" w:hAnsi="Times New Roman"/>
          <w:sz w:val="28"/>
          <w:szCs w:val="28"/>
        </w:rPr>
        <w:t xml:space="preserve"> части второй Налогового кодекса Российской Федерации, </w:t>
      </w:r>
      <w:hyperlink r:id="rId8" w:history="1">
        <w:r w:rsidRPr="00626796">
          <w:rPr>
            <w:rFonts w:ascii="Times New Roman" w:hAnsi="Times New Roman"/>
            <w:sz w:val="28"/>
            <w:szCs w:val="28"/>
          </w:rPr>
          <w:t>Законом</w:t>
        </w:r>
      </w:hyperlink>
      <w:r w:rsidRPr="005C2ADB">
        <w:rPr>
          <w:rFonts w:ascii="Times New Roman" w:hAnsi="Times New Roman"/>
          <w:sz w:val="28"/>
          <w:szCs w:val="28"/>
        </w:rPr>
        <w:t xml:space="preserve"> Ленинградской области от 29.10.2015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C2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C2ADB">
        <w:rPr>
          <w:rFonts w:ascii="Times New Roman" w:hAnsi="Times New Roman"/>
          <w:sz w:val="28"/>
          <w:szCs w:val="28"/>
        </w:rPr>
        <w:t xml:space="preserve"> 102-</w:t>
      </w:r>
      <w:r>
        <w:rPr>
          <w:rFonts w:ascii="Times New Roman" w:hAnsi="Times New Roman"/>
          <w:sz w:val="28"/>
          <w:szCs w:val="28"/>
        </w:rPr>
        <w:t>ОЗ</w:t>
      </w:r>
      <w:r w:rsidRPr="005C2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C2ADB">
        <w:rPr>
          <w:rFonts w:ascii="Times New Roman" w:hAnsi="Times New Roman"/>
          <w:sz w:val="28"/>
          <w:szCs w:val="28"/>
        </w:rPr>
        <w:t>"О единой дате начала применения на территории Ленинградской области порядка определения налоговой базы по налогу на имущество физических лиц</w:t>
      </w:r>
      <w:r>
        <w:rPr>
          <w:rFonts w:ascii="Times New Roman" w:hAnsi="Times New Roman"/>
          <w:sz w:val="28"/>
          <w:szCs w:val="28"/>
        </w:rPr>
        <w:t>,</w:t>
      </w:r>
      <w:r w:rsidRPr="005C2ADB">
        <w:rPr>
          <w:rFonts w:ascii="Times New Roman" w:hAnsi="Times New Roman"/>
          <w:sz w:val="28"/>
          <w:szCs w:val="28"/>
        </w:rPr>
        <w:t xml:space="preserve"> исходя из кадастровой стоимости объектов налогообложения", руководствуясь </w:t>
      </w:r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0E46DF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0E46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E46D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626796">
        <w:rPr>
          <w:rFonts w:ascii="Times New Roman" w:hAnsi="Times New Roman"/>
          <w:spacing w:val="60"/>
          <w:sz w:val="28"/>
          <w:szCs w:val="28"/>
        </w:rPr>
        <w:t>решил:</w:t>
      </w:r>
    </w:p>
    <w:p w:rsidR="00626796" w:rsidRPr="000E46DF" w:rsidRDefault="00626796" w:rsidP="006267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6796" w:rsidRPr="005C2ADB" w:rsidRDefault="00626796" w:rsidP="006267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ADB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4C073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5C2ADB">
        <w:rPr>
          <w:rFonts w:ascii="Times New Roman" w:hAnsi="Times New Roman"/>
          <w:sz w:val="28"/>
          <w:szCs w:val="28"/>
        </w:rPr>
        <w:t xml:space="preserve"> налог на имущество физических лиц (далее - налог).</w:t>
      </w:r>
    </w:p>
    <w:p w:rsidR="00626796" w:rsidRPr="005C2ADB" w:rsidRDefault="00626796" w:rsidP="006267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ADB">
        <w:rPr>
          <w:rFonts w:ascii="Times New Roman" w:hAnsi="Times New Roman"/>
          <w:sz w:val="28"/>
          <w:szCs w:val="28"/>
        </w:rPr>
        <w:t xml:space="preserve">2. Установить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4C073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5C2ADB">
        <w:rPr>
          <w:rFonts w:ascii="Times New Roman" w:hAnsi="Times New Roman"/>
          <w:sz w:val="28"/>
          <w:szCs w:val="28"/>
        </w:rPr>
        <w:t xml:space="preserve"> следующие ставки налога на имущество физических лиц</w:t>
      </w:r>
      <w:r>
        <w:rPr>
          <w:rFonts w:ascii="Times New Roman" w:hAnsi="Times New Roman"/>
          <w:sz w:val="28"/>
          <w:szCs w:val="28"/>
        </w:rPr>
        <w:t>,</w:t>
      </w:r>
      <w:r w:rsidRPr="005C2ADB">
        <w:rPr>
          <w:rFonts w:ascii="Times New Roman" w:hAnsi="Times New Roman"/>
          <w:sz w:val="28"/>
          <w:szCs w:val="28"/>
        </w:rPr>
        <w:t xml:space="preserve"> исходя из кадастровой стоимости объекта налогообложения:</w:t>
      </w:r>
    </w:p>
    <w:p w:rsidR="00626796" w:rsidRPr="005C2ADB" w:rsidRDefault="00626796" w:rsidP="0062679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2126"/>
      </w:tblGrid>
      <w:tr w:rsidR="00626796" w:rsidRPr="005C2ADB" w:rsidTr="00626796">
        <w:trPr>
          <w:trHeight w:val="680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626796" w:rsidRPr="005C2ADB" w:rsidTr="00626796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>Жилых домов, частей жилых домов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>вартир, частей квартир, комнат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26796" w:rsidRPr="005C2ADB" w:rsidTr="00626796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lastRenderedPageBreak/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26796" w:rsidRPr="005C2ADB" w:rsidTr="00626796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26796" w:rsidRPr="005C2ADB" w:rsidTr="00626796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5C2ADB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5C2ADB">
              <w:rPr>
                <w:rFonts w:ascii="Times New Roman" w:hAnsi="Times New Roman"/>
                <w:sz w:val="28"/>
                <w:szCs w:val="28"/>
              </w:rPr>
              <w:t>-места, в том числе расположенны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 xml:space="preserve"> в объектах налогообложения, указанных в подпункте 2  пункта 1 статьи 406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26796" w:rsidRPr="005C2ADB" w:rsidTr="00626796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хозяйства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>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26796" w:rsidRPr="005C2ADB" w:rsidTr="00626796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626796">
                <w:rPr>
                  <w:rFonts w:ascii="Times New Roman" w:hAnsi="Times New Roman"/>
                  <w:sz w:val="28"/>
                  <w:szCs w:val="28"/>
                </w:rPr>
                <w:t>пунктом 7 статьи 378.2</w:t>
              </w:r>
            </w:hyperlink>
            <w:r w:rsidRPr="005C2ADB">
              <w:rPr>
                <w:rFonts w:ascii="Times New Roman" w:hAnsi="Times New Roman"/>
                <w:sz w:val="28"/>
                <w:szCs w:val="28"/>
              </w:rPr>
              <w:t xml:space="preserve"> Налогового кодекса РФ, в отношении объектов налогообложения, предусмотренных </w:t>
            </w:r>
            <w:hyperlink r:id="rId10" w:history="1">
              <w:r w:rsidRPr="00626796">
                <w:rPr>
                  <w:rFonts w:ascii="Times New Roman" w:hAnsi="Times New Roman"/>
                  <w:sz w:val="28"/>
                  <w:szCs w:val="28"/>
                </w:rPr>
                <w:t>абзацем вторым пункта</w:t>
              </w:r>
              <w:r w:rsidRPr="005C2ADB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</w:t>
              </w:r>
              <w:r w:rsidRPr="00626796">
                <w:rPr>
                  <w:rFonts w:ascii="Times New Roman" w:hAnsi="Times New Roman"/>
                  <w:sz w:val="28"/>
                  <w:szCs w:val="28"/>
                </w:rPr>
                <w:t>10 статьи 378.2</w:t>
              </w:r>
            </w:hyperlink>
            <w:r w:rsidRPr="005C2ADB">
              <w:rPr>
                <w:rFonts w:ascii="Times New Roman" w:hAnsi="Times New Roman"/>
                <w:sz w:val="28"/>
                <w:szCs w:val="28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26796" w:rsidRPr="005C2ADB" w:rsidTr="00626796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96" w:rsidRPr="005C2ADB" w:rsidRDefault="00626796" w:rsidP="00626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626796" w:rsidRPr="005C2ADB" w:rsidRDefault="00626796" w:rsidP="0062679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796" w:rsidRPr="005C2ADB" w:rsidRDefault="00626796" w:rsidP="006267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2ADB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hyperlink r:id="rId11" w:history="1">
        <w:r w:rsidRPr="00602617">
          <w:rPr>
            <w:rFonts w:ascii="Times New Roman" w:hAnsi="Times New Roman"/>
            <w:sz w:val="28"/>
            <w:szCs w:val="28"/>
          </w:rPr>
          <w:t>решение</w:t>
        </w:r>
      </w:hyperlink>
      <w:r w:rsidRPr="005C2ADB">
        <w:rPr>
          <w:rFonts w:ascii="Times New Roman" w:hAnsi="Times New Roman"/>
          <w:sz w:val="28"/>
          <w:szCs w:val="28"/>
        </w:rPr>
        <w:t xml:space="preserve"> </w:t>
      </w:r>
      <w:r w:rsidRPr="000E46DF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E46DF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E46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E46DF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C2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24.11.2015 г. № 91 «Об установлении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налога на имущество физических лиц».</w:t>
      </w:r>
    </w:p>
    <w:p w:rsidR="00626796" w:rsidRPr="005C2ADB" w:rsidRDefault="00626796" w:rsidP="006267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2ADB">
        <w:rPr>
          <w:rFonts w:ascii="Times New Roman" w:hAnsi="Times New Roman"/>
          <w:sz w:val="28"/>
          <w:szCs w:val="28"/>
        </w:rPr>
        <w:t>. Настоящее решение подлежит официальному опубликованию.</w:t>
      </w:r>
    </w:p>
    <w:p w:rsidR="00626796" w:rsidRPr="005C2ADB" w:rsidRDefault="00626796" w:rsidP="006267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C2ADB">
        <w:rPr>
          <w:rFonts w:ascii="Times New Roman" w:hAnsi="Times New Roman"/>
          <w:sz w:val="28"/>
          <w:szCs w:val="28"/>
        </w:rPr>
        <w:t xml:space="preserve">. Настоящее решение вступает в силу с 1 января 2020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</w:t>
      </w:r>
      <w:r>
        <w:rPr>
          <w:rFonts w:ascii="Times New Roman" w:hAnsi="Times New Roman"/>
          <w:sz w:val="28"/>
          <w:szCs w:val="28"/>
        </w:rPr>
        <w:t>соответствующему</w:t>
      </w:r>
      <w:r w:rsidRPr="005C2ADB">
        <w:rPr>
          <w:rFonts w:ascii="Times New Roman" w:hAnsi="Times New Roman"/>
          <w:sz w:val="28"/>
          <w:szCs w:val="28"/>
        </w:rPr>
        <w:t xml:space="preserve"> налогу.</w:t>
      </w:r>
    </w:p>
    <w:p w:rsidR="00626796" w:rsidRPr="0088163C" w:rsidRDefault="00626796" w:rsidP="006267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/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96" w:rsidRDefault="00626796" w:rsidP="00626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КУМИ, </w:t>
      </w:r>
      <w:proofErr w:type="spellStart"/>
      <w:r>
        <w:rPr>
          <w:rFonts w:ascii="Times New Roman" w:hAnsi="Times New Roman"/>
          <w:sz w:val="28"/>
          <w:szCs w:val="28"/>
        </w:rPr>
        <w:t>ред.газ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626796" w:rsidRDefault="00626796" w:rsidP="0062679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прокуратура</w:t>
      </w:r>
    </w:p>
    <w:p w:rsidR="0099312C" w:rsidRDefault="00626796"/>
    <w:sectPr w:rsidR="0099312C" w:rsidSect="00A936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96"/>
    <w:rsid w:val="005775ED"/>
    <w:rsid w:val="00626796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9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9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7EE4EF0F68F1D74B2C745614A2185CF8648BE35F4C3F68C05D92F156914CED16AFFE35M1e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1" Type="http://schemas.openxmlformats.org/officeDocument/2006/relationships/hyperlink" Target="consultantplus://offline/ref=0169FD2CE74E13BAA3A47EE4EF0F68F1D7452F71561BA2185CF8648BE35F4C3F68C05D92F156914CED16AFFE35M1e0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6F2568646B959E9AB3918E8BE40D6019B3D15M5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2019-11-26T13:05:00Z</dcterms:created>
  <dcterms:modified xsi:type="dcterms:W3CDTF">2019-11-26T13:14:00Z</dcterms:modified>
</cp:coreProperties>
</file>