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62C" w:rsidRPr="003811F5" w:rsidRDefault="0042562C" w:rsidP="0042562C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146A961A" wp14:editId="580D2C0D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562C" w:rsidRPr="003811F5" w:rsidRDefault="0042562C" w:rsidP="00425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42562C" w:rsidRPr="003811F5" w:rsidRDefault="0042562C" w:rsidP="00425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42562C" w:rsidRDefault="0042562C" w:rsidP="00425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42562C" w:rsidRPr="003811F5" w:rsidRDefault="0042562C" w:rsidP="00425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42562C" w:rsidRPr="003811F5" w:rsidRDefault="0042562C" w:rsidP="0042562C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42562C" w:rsidRPr="00FC303C" w:rsidRDefault="0042562C" w:rsidP="0042562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42562C" w:rsidRDefault="0042562C" w:rsidP="00425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562C" w:rsidRPr="0037201F" w:rsidRDefault="0042562C" w:rsidP="0042562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20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372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37201F">
        <w:rPr>
          <w:rFonts w:ascii="Times New Roman" w:hAnsi="Times New Roman"/>
          <w:sz w:val="28"/>
          <w:szCs w:val="28"/>
        </w:rPr>
        <w:t xml:space="preserve"> 2015 года    № </w:t>
      </w:r>
      <w:r>
        <w:rPr>
          <w:rFonts w:ascii="Times New Roman" w:hAnsi="Times New Roman"/>
          <w:sz w:val="28"/>
          <w:szCs w:val="28"/>
        </w:rPr>
        <w:t>9</w:t>
      </w:r>
      <w:r w:rsidR="005C7530">
        <w:rPr>
          <w:rFonts w:ascii="Times New Roman" w:hAnsi="Times New Roman"/>
          <w:sz w:val="28"/>
          <w:szCs w:val="28"/>
        </w:rPr>
        <w:t>1</w:t>
      </w:r>
      <w:r w:rsidRPr="0037201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42562C" w:rsidRPr="0037201F" w:rsidRDefault="0042562C" w:rsidP="0042562C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42562C" w:rsidRPr="0037201F" w:rsidRDefault="0042562C" w:rsidP="0042562C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  <w:highlight w:val="yellow"/>
        </w:rPr>
      </w:pPr>
      <w:r w:rsidRPr="0037201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5FC8F1" wp14:editId="51AC6D56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37201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42562C" w:rsidRDefault="0042562C" w:rsidP="0042562C">
      <w:pPr>
        <w:pStyle w:val="2"/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201F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3720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установлении на территории муниципального образования Лужское городское поселение Лужского муниципального района Ленинградской области</w:t>
      </w:r>
      <w:r w:rsidR="005C7530">
        <w:rPr>
          <w:rFonts w:ascii="Times New Roman" w:hAnsi="Times New Roman" w:cs="Times New Roman"/>
          <w:noProof/>
          <w:sz w:val="28"/>
          <w:szCs w:val="28"/>
        </w:rPr>
        <w:t xml:space="preserve"> налога на имущество физических лиц</w:t>
      </w:r>
    </w:p>
    <w:p w:rsidR="0042562C" w:rsidRDefault="0042562C" w:rsidP="0042562C">
      <w:pPr>
        <w:pStyle w:val="2"/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EB3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Федеральными законами от 6 октября 2003 г.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10EB3">
          <w:rPr>
            <w:rFonts w:ascii="Times New Roman" w:hAnsi="Times New Roman" w:cs="Times New Roman"/>
            <w:sz w:val="28"/>
            <w:szCs w:val="28"/>
          </w:rPr>
          <w:t xml:space="preserve"> 131-ФЗ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"Об общих принципах организации местного самоуправления в Российской Федерации", от 4 октября 2014 г. </w:t>
      </w:r>
      <w:hyperlink r:id="rId8" w:history="1">
        <w:r>
          <w:rPr>
            <w:rFonts w:ascii="Times New Roman" w:hAnsi="Times New Roman" w:cs="Times New Roman"/>
            <w:sz w:val="28"/>
            <w:szCs w:val="28"/>
          </w:rPr>
          <w:t>№</w:t>
        </w:r>
        <w:r w:rsidRPr="00110EB3">
          <w:rPr>
            <w:rFonts w:ascii="Times New Roman" w:hAnsi="Times New Roman" w:cs="Times New Roman"/>
            <w:sz w:val="28"/>
            <w:szCs w:val="28"/>
          </w:rPr>
          <w:t xml:space="preserve"> 284-ФЗ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"О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"О налогах на имущество физических лиц" и </w:t>
      </w:r>
      <w:hyperlink r:id="rId9" w:history="1">
        <w:r w:rsidRPr="00110EB3">
          <w:rPr>
            <w:rFonts w:ascii="Times New Roman" w:hAnsi="Times New Roman" w:cs="Times New Roman"/>
            <w:sz w:val="28"/>
            <w:szCs w:val="28"/>
          </w:rPr>
          <w:t>главой 32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части</w:t>
      </w:r>
      <w:proofErr w:type="gramEnd"/>
      <w:r w:rsidRPr="00110E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10EB3">
        <w:rPr>
          <w:rFonts w:ascii="Times New Roman" w:hAnsi="Times New Roman" w:cs="Times New Roman"/>
          <w:sz w:val="28"/>
          <w:szCs w:val="28"/>
        </w:rPr>
        <w:t xml:space="preserve">второй Налогового кодекса Российской Федерации, </w:t>
      </w:r>
      <w:hyperlink r:id="rId10" w:history="1">
        <w:r w:rsidRPr="00110EB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Ленинградской области от </w:t>
      </w:r>
      <w:r>
        <w:rPr>
          <w:rFonts w:ascii="Times New Roman" w:hAnsi="Times New Roman" w:cs="Times New Roman"/>
          <w:sz w:val="28"/>
          <w:szCs w:val="28"/>
        </w:rPr>
        <w:t>29 октября</w:t>
      </w:r>
      <w:r w:rsidRPr="00110EB3">
        <w:rPr>
          <w:rFonts w:ascii="Times New Roman" w:hAnsi="Times New Roman" w:cs="Times New Roman"/>
          <w:sz w:val="28"/>
          <w:szCs w:val="28"/>
        </w:rPr>
        <w:t xml:space="preserve"> 2015 г. </w:t>
      </w:r>
      <w:r>
        <w:rPr>
          <w:rFonts w:ascii="Times New Roman" w:hAnsi="Times New Roman" w:cs="Times New Roman"/>
          <w:sz w:val="28"/>
          <w:szCs w:val="28"/>
        </w:rPr>
        <w:t>№ 102-оз</w:t>
      </w:r>
      <w:r w:rsidRPr="00110EB3">
        <w:rPr>
          <w:rFonts w:ascii="Times New Roman" w:hAnsi="Times New Roman" w:cs="Times New Roman"/>
          <w:sz w:val="28"/>
          <w:szCs w:val="28"/>
        </w:rPr>
        <w:t xml:space="preserve"> "О единой дате начала применения на территории Ленинградской области порядка определения налоговой базы по налогу на имущество физических лиц исходя из кадастровой стоимости объектов налогообложения", руководствуясь Уставом муниципального образования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области", Совет депутатов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</w:t>
      </w:r>
      <w:proofErr w:type="gramEnd"/>
      <w:r w:rsidRPr="00110EB3">
        <w:rPr>
          <w:rFonts w:ascii="Times New Roman" w:hAnsi="Times New Roman" w:cs="Times New Roman"/>
          <w:sz w:val="28"/>
          <w:szCs w:val="28"/>
        </w:rPr>
        <w:t xml:space="preserve"> области </w:t>
      </w:r>
      <w:r w:rsidRPr="005C7530">
        <w:rPr>
          <w:rFonts w:ascii="Times New Roman" w:hAnsi="Times New Roman" w:cs="Times New Roman"/>
          <w:spacing w:val="60"/>
          <w:sz w:val="28"/>
          <w:szCs w:val="28"/>
        </w:rPr>
        <w:t>РЕШИЛ</w:t>
      </w:r>
      <w:r w:rsidRPr="005C7530">
        <w:rPr>
          <w:rFonts w:ascii="Times New Roman" w:hAnsi="Times New Roman" w:cs="Times New Roman"/>
          <w:spacing w:val="60"/>
          <w:sz w:val="28"/>
          <w:szCs w:val="28"/>
        </w:rPr>
        <w:t>: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30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1. Установить и ввести в действие с 1 января 2016 года на территории муниципального образования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области" налог на имущество физических лиц (далее - налог).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30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8C301F" w:rsidRPr="008C301F" w:rsidRDefault="008C301F" w:rsidP="005C7530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Налогоплательщиками налога признаются физические лица, обладающие правом собственности на имущество, признаваемое объектом налогообложения в соответствии со </w:t>
      </w:r>
      <w:hyperlink r:id="rId11" w:history="1">
        <w:r w:rsidRPr="00110EB3">
          <w:rPr>
            <w:rFonts w:ascii="Times New Roman" w:hAnsi="Times New Roman" w:cs="Times New Roman"/>
            <w:sz w:val="28"/>
            <w:szCs w:val="28"/>
          </w:rPr>
          <w:t>статьей 401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 и </w:t>
      </w:r>
      <w:hyperlink w:anchor="P16" w:history="1">
        <w:r w:rsidRPr="00110EB3">
          <w:rPr>
            <w:rFonts w:ascii="Times New Roman" w:hAnsi="Times New Roman" w:cs="Times New Roman"/>
            <w:sz w:val="28"/>
            <w:szCs w:val="28"/>
          </w:rPr>
          <w:t>разделом 2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настоящего решения.</w:t>
      </w:r>
    </w:p>
    <w:p w:rsidR="005C7530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lastRenderedPageBreak/>
        <w:t>2. Объект налогообложения</w:t>
      </w:r>
    </w:p>
    <w:p w:rsidR="008C301F" w:rsidRPr="008C301F" w:rsidRDefault="008C301F" w:rsidP="005C7530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2.1. Объектами налогообложения является расположенное в пределах муниципального образования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 городское поселение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</w:t>
      </w:r>
      <w:proofErr w:type="gramStart"/>
      <w:r w:rsidRPr="00110EB3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Pr="00110EB3">
        <w:rPr>
          <w:rFonts w:ascii="Times New Roman" w:hAnsi="Times New Roman" w:cs="Times New Roman"/>
          <w:sz w:val="28"/>
          <w:szCs w:val="28"/>
        </w:rPr>
        <w:t xml:space="preserve"> следующее имущество: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1) жилой дом;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2) жилое помещение (квартира, комната);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3) гараж,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>-место;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4) единый недвижимый комплекс;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5) объект незавершенного строительства;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6) иное здание, строение, сооружение, помещение.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2.2. Жилые строения, расположенные на земельных участках, предоставленных для ведения личного подсобного, дачного хозяйства, огородничества, садоводства, индивидуального жилищного строительства, относятся к жилым домам.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2.3. Не признается объектом налогообложения имущество, входящее в состав общего имущества многоквартирного дома.</w:t>
      </w:r>
    </w:p>
    <w:p w:rsidR="005C7530" w:rsidRPr="00110EB3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530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3. Налоговая база</w:t>
      </w:r>
    </w:p>
    <w:p w:rsidR="008C301F" w:rsidRPr="008C301F" w:rsidRDefault="008C301F" w:rsidP="005C7530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Налоговая база в отношении объектов налогообложения определяется исходя из их кадастровой стоимости объекта налогообложения.</w:t>
      </w:r>
    </w:p>
    <w:p w:rsidR="005C7530" w:rsidRPr="00110EB3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5C7530" w:rsidRPr="00110EB3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4. Порядок определения налоговой базы исходя</w:t>
      </w:r>
    </w:p>
    <w:p w:rsidR="005C7530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из кадастровой стоимости объектов налогообложения</w:t>
      </w:r>
    </w:p>
    <w:p w:rsidR="008C301F" w:rsidRPr="008C301F" w:rsidRDefault="008C301F" w:rsidP="005C7530">
      <w:pPr>
        <w:pStyle w:val="ConsPlusNormal"/>
        <w:jc w:val="center"/>
        <w:rPr>
          <w:rFonts w:ascii="Times New Roman" w:hAnsi="Times New Roman" w:cs="Times New Roman"/>
          <w:sz w:val="10"/>
          <w:szCs w:val="10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4.1. Налоговая база определяется в отношении каждого объекта налогообложения как его кадастровая стоимость, указанная в государственном кадастре недвижимости по состоянию на 1 января года, являющегося налоговым периодом, с учетом особенностей, предусмотренных </w:t>
      </w:r>
      <w:hyperlink r:id="rId12" w:history="1">
        <w:r w:rsidRPr="00110EB3">
          <w:rPr>
            <w:rFonts w:ascii="Times New Roman" w:hAnsi="Times New Roman" w:cs="Times New Roman"/>
            <w:sz w:val="28"/>
            <w:szCs w:val="28"/>
          </w:rPr>
          <w:t>статьей 403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36"/>
      <w:bookmarkEnd w:id="0"/>
      <w:r w:rsidRPr="00110EB3">
        <w:rPr>
          <w:rFonts w:ascii="Times New Roman" w:hAnsi="Times New Roman" w:cs="Times New Roman"/>
          <w:sz w:val="28"/>
          <w:szCs w:val="28"/>
        </w:rPr>
        <w:t>4.2. Налоговая база в отношении квартиры определяется как ее кадастровая стоимость, уменьшенная на величину кадастровой стоимости 20 квадратных метров общей площади этой квартиры.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4.3. Налоговая база в отношении комнаты определяется как ее кадастровая стоимость, уменьшенная на величину кадастровой стоимости 10 квадратных метров площади этой комнаты.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4.4. Налоговая база в отношении жилого дома определяется как его кадастровая стоимость, уменьшенная на величину кадастровой стоимости 50 квадратных метров общей площади этого жилого дома.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110EB3">
        <w:rPr>
          <w:rFonts w:ascii="Times New Roman" w:hAnsi="Times New Roman" w:cs="Times New Roman"/>
          <w:sz w:val="28"/>
          <w:szCs w:val="28"/>
        </w:rPr>
        <w:t>4.5. Налоговая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один миллион рублей.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4.6. В случае</w:t>
      </w:r>
      <w:proofErr w:type="gramStart"/>
      <w:r w:rsidRPr="00110EB3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10EB3">
        <w:rPr>
          <w:rFonts w:ascii="Times New Roman" w:hAnsi="Times New Roman" w:cs="Times New Roman"/>
          <w:sz w:val="28"/>
          <w:szCs w:val="28"/>
        </w:rPr>
        <w:t xml:space="preserve"> если при применении налоговых вычетов, предусмотренных </w:t>
      </w:r>
      <w:hyperlink w:anchor="P36" w:history="1">
        <w:r w:rsidRPr="00110EB3">
          <w:rPr>
            <w:rFonts w:ascii="Times New Roman" w:hAnsi="Times New Roman" w:cs="Times New Roman"/>
            <w:sz w:val="28"/>
            <w:szCs w:val="28"/>
          </w:rPr>
          <w:t>пунктами 4.2</w:t>
        </w:r>
      </w:hyperlink>
      <w:r w:rsidR="008C301F">
        <w:rPr>
          <w:rFonts w:ascii="Times New Roman" w:hAnsi="Times New Roman" w:cs="Times New Roman"/>
          <w:sz w:val="28"/>
          <w:szCs w:val="28"/>
        </w:rPr>
        <w:t>–</w:t>
      </w:r>
      <w:hyperlink w:anchor="P39" w:history="1">
        <w:r w:rsidRPr="00110EB3">
          <w:rPr>
            <w:rFonts w:ascii="Times New Roman" w:hAnsi="Times New Roman" w:cs="Times New Roman"/>
            <w:sz w:val="28"/>
            <w:szCs w:val="28"/>
          </w:rPr>
          <w:t>4.5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настоящего раздела, налоговая база принимает отрицательное значение, в целях исчисления налога такая налоговая база принимается равной нулю.</w:t>
      </w:r>
    </w:p>
    <w:p w:rsidR="005C7530" w:rsidRPr="00110EB3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lastRenderedPageBreak/>
        <w:t>5. Налоговый период</w:t>
      </w:r>
    </w:p>
    <w:p w:rsidR="005C7530" w:rsidRPr="008C301F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Налоговым периодом признается календарный год.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30" w:rsidRPr="00110EB3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6. Налоговые ставки</w:t>
      </w:r>
    </w:p>
    <w:p w:rsidR="005C7530" w:rsidRPr="008C301F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На территории муниципального образования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устанавливаются следующие ставки </w:t>
      </w:r>
      <w:proofErr w:type="gramStart"/>
      <w:r w:rsidRPr="00110EB3">
        <w:rPr>
          <w:rFonts w:ascii="Times New Roman" w:hAnsi="Times New Roman" w:cs="Times New Roman"/>
          <w:sz w:val="28"/>
          <w:szCs w:val="28"/>
        </w:rPr>
        <w:t>налога</w:t>
      </w:r>
      <w:proofErr w:type="gramEnd"/>
      <w:r w:rsidRPr="00110EB3">
        <w:rPr>
          <w:rFonts w:ascii="Times New Roman" w:hAnsi="Times New Roman" w:cs="Times New Roman"/>
          <w:sz w:val="28"/>
          <w:szCs w:val="28"/>
        </w:rPr>
        <w:t xml:space="preserve"> на имущество физических лиц исходя из кадастровой стоимости объекта налогообложения: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6.1.   0,2 процента в отношении домов, указанных в главе 32 Налогового кодекса Российской Федерации;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6.2.   0,05 процента в отношении квартир и комнат;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6.3. 0,1 </w:t>
      </w:r>
      <w:r w:rsidR="008C301F" w:rsidRPr="00110EB3">
        <w:rPr>
          <w:rFonts w:ascii="Times New Roman" w:hAnsi="Times New Roman" w:cs="Times New Roman"/>
          <w:sz w:val="28"/>
          <w:szCs w:val="28"/>
        </w:rPr>
        <w:t>процента</w:t>
      </w:r>
      <w:r w:rsidR="008C301F" w:rsidRPr="00110EB3">
        <w:rPr>
          <w:rFonts w:ascii="Times New Roman" w:hAnsi="Times New Roman" w:cs="Times New Roman"/>
          <w:sz w:val="28"/>
          <w:szCs w:val="28"/>
        </w:rPr>
        <w:t xml:space="preserve"> </w:t>
      </w:r>
      <w:r w:rsidR="008C301F" w:rsidRPr="00110EB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110EB3">
        <w:rPr>
          <w:rFonts w:ascii="Times New Roman" w:hAnsi="Times New Roman" w:cs="Times New Roman"/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6.4.  0,1 процента в отношении единых недвижимых комплексов, в состав которых входит хотя бы одно жилое помещение (жилой дом);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6.5.   0,3 процента в отношении гаражей и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машино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>-мест;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6.6.  0,1 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10EB3">
        <w:rPr>
          <w:rFonts w:ascii="Times New Roman" w:hAnsi="Times New Roman" w:cs="Times New Roman"/>
          <w:sz w:val="28"/>
          <w:szCs w:val="28"/>
        </w:rPr>
        <w:t xml:space="preserve">6.7.   2 процента в отношении объектов налогообложения, включенных в перечень, определяемый в соответствии с </w:t>
      </w:r>
      <w:hyperlink r:id="rId13" w:history="1">
        <w:r w:rsidRPr="00110EB3">
          <w:rPr>
            <w:rFonts w:ascii="Times New Roman" w:hAnsi="Times New Roman" w:cs="Times New Roman"/>
            <w:sz w:val="28"/>
            <w:szCs w:val="28"/>
          </w:rPr>
          <w:t>пунктом 7 статьи 378.2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в отношении объектов налогообложения, предусмотренных </w:t>
      </w:r>
      <w:hyperlink r:id="rId14" w:history="1">
        <w:r w:rsidRPr="00110EB3">
          <w:rPr>
            <w:rFonts w:ascii="Times New Roman" w:hAnsi="Times New Roman" w:cs="Times New Roman"/>
            <w:sz w:val="28"/>
            <w:szCs w:val="28"/>
          </w:rPr>
          <w:t>абзацем вторым пункта 10 статьи 378.2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а также в отношении объектов налогообложения, кадастровая стоимость каждого из которых превышает 300 миллионов рублей;</w:t>
      </w:r>
      <w:proofErr w:type="gramEnd"/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6.8. 0,5 процента в отношении прочих объектов налогообложения.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2"/>
      <w:bookmarkEnd w:id="2"/>
    </w:p>
    <w:p w:rsidR="005C7530" w:rsidRPr="00110EB3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7. Налоговые льготы</w:t>
      </w:r>
    </w:p>
    <w:p w:rsidR="005C7530" w:rsidRPr="008C301F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7.1. Установить, что для граждан, имеющих в собственности имущество, являющееся объектом налогообложения на территории муниципального образования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Лужское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городское поселение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10EB3">
        <w:rPr>
          <w:rFonts w:ascii="Times New Roman" w:hAnsi="Times New Roman" w:cs="Times New Roman"/>
          <w:sz w:val="28"/>
          <w:szCs w:val="28"/>
        </w:rPr>
        <w:t>муниципаного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района, льготы, установленные в соответствии со </w:t>
      </w:r>
      <w:hyperlink r:id="rId15" w:history="1">
        <w:r w:rsidRPr="00110EB3">
          <w:rPr>
            <w:rFonts w:ascii="Times New Roman" w:hAnsi="Times New Roman" w:cs="Times New Roman"/>
            <w:sz w:val="28"/>
            <w:szCs w:val="28"/>
          </w:rPr>
          <w:t>статьей 407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Федерации, действуют в полном объеме.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30" w:rsidRPr="00110EB3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8. Порядок исчисления суммы налога</w:t>
      </w:r>
    </w:p>
    <w:p w:rsidR="005C7530" w:rsidRPr="008C301F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Сумма налога исчисляется налоговыми органами по истечении налогового периода отдельно по каждому объекту налогообложения как соответствующая налоговой ставке процентная доля налоговой базы с учетом особенностей, установленных </w:t>
      </w:r>
      <w:hyperlink r:id="rId16" w:history="1">
        <w:r w:rsidRPr="00110EB3">
          <w:rPr>
            <w:rFonts w:ascii="Times New Roman" w:hAnsi="Times New Roman" w:cs="Times New Roman"/>
            <w:sz w:val="28"/>
            <w:szCs w:val="28"/>
          </w:rPr>
          <w:t>статьей 408</w:t>
        </w:r>
      </w:hyperlink>
      <w:r w:rsidRPr="00110EB3">
        <w:rPr>
          <w:rFonts w:ascii="Times New Roman" w:hAnsi="Times New Roman" w:cs="Times New Roman"/>
          <w:sz w:val="28"/>
          <w:szCs w:val="28"/>
        </w:rPr>
        <w:t xml:space="preserve"> Налогового кодекса Российской Федерации.</w:t>
      </w:r>
    </w:p>
    <w:p w:rsidR="005C7530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42550" w:rsidRPr="00110EB3" w:rsidRDefault="0094255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C7530" w:rsidRPr="00110EB3" w:rsidRDefault="005C7530" w:rsidP="005C753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lastRenderedPageBreak/>
        <w:t>9. Порядок и сроки уплаты налога</w:t>
      </w:r>
    </w:p>
    <w:p w:rsidR="005C7530" w:rsidRPr="00942550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9.1. Налог подлежит уплате налогоплательщиками в срок не позднее 1 октября года, следующего за истекшим налоговым периодом.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9.2. Налог уплачивается по месту нахождения объекта налогообложения на основании налогового уведомления, направляемого налогоплательщику налоговым органом.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9.3. Направление налогового уведомления допускается не более чем за три налоговых периода, предшествующих календарному году его направления.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9.4. Налогоплательщик уплачивает налог не более чем за три налоговых периода, предшествующих календарному году направления налогового уведомления.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 xml:space="preserve">10. Признать утратившим силу решение Совета депутатов </w:t>
      </w:r>
      <w:proofErr w:type="spellStart"/>
      <w:r w:rsidR="00942550">
        <w:rPr>
          <w:rFonts w:ascii="Times New Roman" w:hAnsi="Times New Roman" w:cs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 w:cs="Times New Roman"/>
          <w:sz w:val="28"/>
          <w:szCs w:val="28"/>
        </w:rPr>
        <w:t xml:space="preserve"> городского поселения от </w:t>
      </w:r>
      <w:r w:rsidR="00942550">
        <w:rPr>
          <w:rFonts w:ascii="Times New Roman" w:hAnsi="Times New Roman" w:cs="Times New Roman"/>
          <w:sz w:val="28"/>
          <w:szCs w:val="28"/>
        </w:rPr>
        <w:t xml:space="preserve">25.11.2014 г. </w:t>
      </w:r>
      <w:r w:rsidRPr="00110EB3">
        <w:rPr>
          <w:rFonts w:ascii="Times New Roman" w:hAnsi="Times New Roman" w:cs="Times New Roman"/>
          <w:sz w:val="28"/>
          <w:szCs w:val="28"/>
        </w:rPr>
        <w:t xml:space="preserve"> </w:t>
      </w:r>
      <w:r w:rsidR="00942550">
        <w:rPr>
          <w:rFonts w:ascii="Times New Roman" w:hAnsi="Times New Roman" w:cs="Times New Roman"/>
          <w:sz w:val="28"/>
          <w:szCs w:val="28"/>
        </w:rPr>
        <w:t>№</w:t>
      </w:r>
      <w:r w:rsidRPr="00110EB3">
        <w:rPr>
          <w:rFonts w:ascii="Times New Roman" w:hAnsi="Times New Roman" w:cs="Times New Roman"/>
          <w:sz w:val="28"/>
          <w:szCs w:val="28"/>
        </w:rPr>
        <w:t xml:space="preserve"> </w:t>
      </w:r>
      <w:r w:rsidR="00942550">
        <w:rPr>
          <w:rFonts w:ascii="Times New Roman" w:hAnsi="Times New Roman" w:cs="Times New Roman"/>
          <w:sz w:val="28"/>
          <w:szCs w:val="28"/>
        </w:rPr>
        <w:t>19 «</w:t>
      </w:r>
      <w:r w:rsidR="00942550" w:rsidRPr="00942550">
        <w:rPr>
          <w:rFonts w:ascii="Times New Roman" w:hAnsi="Times New Roman" w:cs="Times New Roman"/>
          <w:bCs/>
          <w:sz w:val="28"/>
          <w:szCs w:val="28"/>
        </w:rPr>
        <w:t>Об установлении налога на имущество физических лиц в соответствии с главой 32 Налогового кодекса Российской Федерации</w:t>
      </w:r>
      <w:r w:rsidR="00942550">
        <w:rPr>
          <w:rFonts w:ascii="Times New Roman" w:hAnsi="Times New Roman" w:cs="Times New Roman"/>
          <w:bCs/>
          <w:sz w:val="28"/>
          <w:szCs w:val="28"/>
        </w:rPr>
        <w:t>»</w:t>
      </w:r>
      <w:r w:rsidRPr="00110EB3">
        <w:rPr>
          <w:rFonts w:ascii="Times New Roman" w:hAnsi="Times New Roman" w:cs="Times New Roman"/>
          <w:sz w:val="28"/>
          <w:szCs w:val="28"/>
        </w:rPr>
        <w:t>.</w:t>
      </w:r>
    </w:p>
    <w:p w:rsidR="005C7530" w:rsidRPr="00110EB3" w:rsidRDefault="005C7530" w:rsidP="005C753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0EB3">
        <w:rPr>
          <w:rFonts w:ascii="Times New Roman" w:hAnsi="Times New Roman" w:cs="Times New Roman"/>
          <w:sz w:val="28"/>
          <w:szCs w:val="28"/>
        </w:rPr>
        <w:t>11. Настоящее решение вступает в силу по истечении одного месяца с момента официального опубликования, но не ранее 1 января 2016 года.</w:t>
      </w:r>
    </w:p>
    <w:p w:rsidR="005C7530" w:rsidRPr="00110EB3" w:rsidRDefault="005C7530" w:rsidP="0094255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10EB3">
        <w:rPr>
          <w:rFonts w:ascii="Times New Roman" w:hAnsi="Times New Roman"/>
          <w:sz w:val="28"/>
          <w:szCs w:val="28"/>
        </w:rPr>
        <w:t xml:space="preserve">12.  </w:t>
      </w:r>
      <w:proofErr w:type="gramStart"/>
      <w:r w:rsidRPr="00110EB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10EB3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110EB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110EB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О.М. Малащенко.</w:t>
      </w:r>
    </w:p>
    <w:p w:rsidR="0042562C" w:rsidRPr="00B039C9" w:rsidRDefault="0042562C" w:rsidP="0042562C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42562C" w:rsidRPr="00FC303C" w:rsidRDefault="0042562C" w:rsidP="0042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42562C" w:rsidRPr="00FC303C" w:rsidRDefault="0042562C" w:rsidP="0042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42562C" w:rsidRDefault="0042562C" w:rsidP="00425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42562C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42562C" w:rsidRDefault="00942550" w:rsidP="0042562C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42562C">
        <w:rPr>
          <w:rFonts w:ascii="Times New Roman" w:hAnsi="Times New Roman"/>
          <w:sz w:val="28"/>
          <w:szCs w:val="28"/>
        </w:rPr>
        <w:t>аз</w:t>
      </w:r>
      <w:r w:rsidR="0042562C" w:rsidRPr="002343A5">
        <w:rPr>
          <w:rFonts w:ascii="Times New Roman" w:hAnsi="Times New Roman"/>
          <w:sz w:val="28"/>
          <w:szCs w:val="28"/>
        </w:rPr>
        <w:t xml:space="preserve">ослано: </w:t>
      </w:r>
      <w:r w:rsidR="0042562C" w:rsidRPr="00301A28">
        <w:rPr>
          <w:rFonts w:ascii="Times New Roman" w:hAnsi="Times New Roman"/>
          <w:sz w:val="28"/>
          <w:szCs w:val="28"/>
        </w:rPr>
        <w:t>администраци</w:t>
      </w:r>
      <w:r w:rsidR="0042562C">
        <w:rPr>
          <w:rFonts w:ascii="Times New Roman" w:hAnsi="Times New Roman"/>
          <w:sz w:val="28"/>
          <w:szCs w:val="28"/>
        </w:rPr>
        <w:t>я</w:t>
      </w:r>
      <w:r w:rsidR="0042562C" w:rsidRPr="00301A28">
        <w:rPr>
          <w:rFonts w:ascii="Times New Roman" w:hAnsi="Times New Roman"/>
          <w:sz w:val="28"/>
          <w:szCs w:val="28"/>
        </w:rPr>
        <w:t xml:space="preserve"> ЛМР, </w:t>
      </w:r>
      <w:r w:rsidR="0042562C">
        <w:rPr>
          <w:rFonts w:ascii="Times New Roman" w:hAnsi="Times New Roman"/>
          <w:sz w:val="28"/>
          <w:szCs w:val="28"/>
        </w:rPr>
        <w:t>КУМИ – 2 экз., ред. газ. «</w:t>
      </w:r>
      <w:proofErr w:type="spellStart"/>
      <w:proofErr w:type="gramStart"/>
      <w:r w:rsidR="0042562C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42562C">
        <w:rPr>
          <w:rFonts w:ascii="Times New Roman" w:hAnsi="Times New Roman"/>
          <w:sz w:val="28"/>
          <w:szCs w:val="28"/>
        </w:rPr>
        <w:t xml:space="preserve"> правда»,   </w:t>
      </w:r>
    </w:p>
    <w:p w:rsidR="0099312C" w:rsidRDefault="0042562C" w:rsidP="00942550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301A28">
        <w:rPr>
          <w:rFonts w:ascii="Times New Roman" w:hAnsi="Times New Roman"/>
          <w:sz w:val="28"/>
          <w:szCs w:val="28"/>
        </w:rPr>
        <w:t>прокуратура.</w:t>
      </w:r>
      <w:bookmarkStart w:id="3" w:name="_GoBack"/>
      <w:bookmarkEnd w:id="3"/>
    </w:p>
    <w:sectPr w:rsidR="0099312C" w:rsidSect="007D50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62C"/>
    <w:rsid w:val="0042562C"/>
    <w:rsid w:val="005775ED"/>
    <w:rsid w:val="005C7530"/>
    <w:rsid w:val="00786F15"/>
    <w:rsid w:val="008C301F"/>
    <w:rsid w:val="00942550"/>
    <w:rsid w:val="00F6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2562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2562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2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42562C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42562C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425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562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5C75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A7733A8BE62B42E75BD7C8A95253AA07B38123D8284EFE0ADE989F360dEb7M" TargetMode="External"/><Relationship Id="rId13" Type="http://schemas.openxmlformats.org/officeDocument/2006/relationships/hyperlink" Target="consultantplus://offline/ref=7A7733A8BE62B42E75BD7C8A95253AA07B3619398189EFE0ADE989F360E73665C2E8B7F7637EdCb6M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A7733A8BE62B42E75BD7C8A95253AA07B361938868FEFE0ADE989F360E73665C2E8B7FF617FCB81d2bFM" TargetMode="External"/><Relationship Id="rId12" Type="http://schemas.openxmlformats.org/officeDocument/2006/relationships/hyperlink" Target="consultantplus://offline/ref=44B3313789E667B97E0AA16EEC72864B96D9CF53EDC23E5BC0EB1ABC784C8843A05AB9FC921F8BnFVF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4B3313789E667B97E0AA16EEC72864B96D9CF53EDC23E5BC0EB1ABC784C8843A05AB9FC92188EnFV9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44B3313789E667B97E0AA16EEC72864B96D9CF53EDC23E5BC0EB1ABC784C8843A05AB9FC921F8DnFVB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4B3313789E667B97E0AA16EEC72864B96D9CF53EDC23E5BC0EB1ABC784C8843A05AB9FC921F87nFVAM" TargetMode="External"/><Relationship Id="rId10" Type="http://schemas.openxmlformats.org/officeDocument/2006/relationships/hyperlink" Target="consultantplus://offline/ref=7A7733A8BE62B42E75BD6287834960AE7C354534858AE1B2F4B6D2AE37EE3C3285A7EEBD2572CE8026D5DCdEb9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A7733A8BE62B42E75BD7C8A95253AA07B3619398189EFE0ADE989F360E73665C2E8B7FF617CCEd8b8M" TargetMode="External"/><Relationship Id="rId14" Type="http://schemas.openxmlformats.org/officeDocument/2006/relationships/hyperlink" Target="consultantplus://offline/ref=7A7733A8BE62B42E75BD7C8A95253AA07B3619398189EFE0ADE989F360E73665C2E8B7FF607BC9d8b8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6863-2905-48DB-B8BC-B851870FA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5</Pages>
  <Words>1398</Words>
  <Characters>7969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2</cp:revision>
  <dcterms:created xsi:type="dcterms:W3CDTF">2015-11-19T08:03:00Z</dcterms:created>
  <dcterms:modified xsi:type="dcterms:W3CDTF">2015-11-19T09:00:00Z</dcterms:modified>
</cp:coreProperties>
</file>