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района Ленинградской области</w:t>
      </w:r>
      <w:r w:rsidRPr="00716378">
        <w:rPr>
          <w:rFonts w:ascii="Times New Roman" w:hAnsi="Times New Roman" w:cs="Times New Roman"/>
          <w:sz w:val="28"/>
        </w:rPr>
        <w:br/>
        <w:t>за 202</w:t>
      </w:r>
      <w:r w:rsidR="00BF6B47">
        <w:rPr>
          <w:rFonts w:ascii="Times New Roman" w:hAnsi="Times New Roman" w:cs="Times New Roman"/>
          <w:sz w:val="28"/>
        </w:rPr>
        <w:t>1</w:t>
      </w:r>
      <w:r w:rsidRPr="00716378">
        <w:rPr>
          <w:rFonts w:ascii="Times New Roman" w:hAnsi="Times New Roman" w:cs="Times New Roman"/>
          <w:sz w:val="28"/>
        </w:rPr>
        <w:t xml:space="preserve"> год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ежегодного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>в 202</w:t>
      </w:r>
      <w:r w:rsidR="00BF6B47">
        <w:rPr>
          <w:rFonts w:ascii="Times New Roman" w:hAnsi="Times New Roman" w:cs="Times New Roman"/>
          <w:sz w:val="28"/>
          <w:szCs w:val="28"/>
        </w:rPr>
        <w:t>1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году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  <w:proofErr w:type="gramEnd"/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3619AC" w:rsidRPr="003619AC">
        <w:rPr>
          <w:rFonts w:ascii="Times New Roman" w:hAnsi="Times New Roman" w:cs="Times New Roman"/>
          <w:sz w:val="28"/>
          <w:szCs w:val="28"/>
        </w:rPr>
        <w:t>50</w:t>
      </w:r>
      <w:r w:rsidRPr="003619AC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</w:t>
      </w:r>
      <w:r w:rsidR="003619AC" w:rsidRPr="003619AC">
        <w:rPr>
          <w:rFonts w:ascii="Times New Roman" w:hAnsi="Times New Roman" w:cs="Times New Roman"/>
          <w:sz w:val="28"/>
          <w:szCs w:val="28"/>
        </w:rPr>
        <w:t>39</w:t>
      </w:r>
      <w:r w:rsidRPr="003619AC">
        <w:rPr>
          <w:rFonts w:ascii="Times New Roman" w:hAnsi="Times New Roman" w:cs="Times New Roman"/>
          <w:sz w:val="28"/>
          <w:szCs w:val="28"/>
        </w:rPr>
        <w:t xml:space="preserve">, от потребителей – </w:t>
      </w:r>
      <w:r w:rsidR="003619AC" w:rsidRPr="003619AC">
        <w:rPr>
          <w:rFonts w:ascii="Times New Roman" w:hAnsi="Times New Roman" w:cs="Times New Roman"/>
          <w:sz w:val="28"/>
          <w:szCs w:val="28"/>
        </w:rPr>
        <w:t>11.</w:t>
      </w:r>
    </w:p>
    <w:p w:rsidR="00B611DA" w:rsidRDefault="00B611DA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75AC">
        <w:rPr>
          <w:rFonts w:ascii="Times New Roman" w:hAnsi="Times New Roman" w:cs="Times New Roman"/>
          <w:sz w:val="28"/>
          <w:szCs w:val="28"/>
        </w:rPr>
        <w:t>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A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Производство пищевых продуктов, включая напитки, и табака – 9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Строительство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Розничная торговля – 13;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Гостиницы и рестораны – 6;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Транспорт и связь – 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8175AC">
        <w:rPr>
          <w:rFonts w:ascii="Times New Roman" w:hAnsi="Times New Roman" w:cs="Times New Roman"/>
          <w:sz w:val="28"/>
          <w:szCs w:val="28"/>
        </w:rPr>
        <w:t>8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8175AC">
        <w:rPr>
          <w:rFonts w:ascii="Times New Roman" w:hAnsi="Times New Roman" w:cs="Times New Roman"/>
          <w:sz w:val="28"/>
          <w:szCs w:val="28"/>
        </w:rPr>
        <w:t>29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8175AC" w:rsidRDefault="008175AC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21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17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1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D346B0">
        <w:rPr>
          <w:rFonts w:ascii="Times New Roman" w:hAnsi="Times New Roman" w:cs="Times New Roman"/>
          <w:sz w:val="28"/>
          <w:szCs w:val="28"/>
        </w:rPr>
        <w:t>26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D346B0">
        <w:rPr>
          <w:rFonts w:ascii="Times New Roman" w:hAnsi="Times New Roman" w:cs="Times New Roman"/>
          <w:sz w:val="28"/>
          <w:szCs w:val="28"/>
        </w:rPr>
        <w:t>11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сократилось на 1-3 конкурента – 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D346B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D346B0">
        <w:rPr>
          <w:rFonts w:ascii="Times New Roman" w:hAnsi="Times New Roman" w:cs="Times New Roman"/>
          <w:sz w:val="28"/>
          <w:szCs w:val="28"/>
        </w:rPr>
        <w:t>60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D346B0">
        <w:rPr>
          <w:rFonts w:ascii="Times New Roman" w:hAnsi="Times New Roman" w:cs="Times New Roman"/>
          <w:sz w:val="28"/>
          <w:szCs w:val="28"/>
        </w:rPr>
        <w:t>40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lastRenderedPageBreak/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520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9A5208">
        <w:rPr>
          <w:rFonts w:ascii="Times New Roman" w:hAnsi="Times New Roman" w:cs="Times New Roman"/>
          <w:sz w:val="28"/>
          <w:szCs w:val="28"/>
        </w:rPr>
        <w:t>18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08">
        <w:rPr>
          <w:rFonts w:ascii="Times New Roman" w:hAnsi="Times New Roman" w:cs="Times New Roman"/>
          <w:sz w:val="28"/>
          <w:szCs w:val="28"/>
        </w:rPr>
        <w:t>18%.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детей – 27%;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– </w:t>
      </w:r>
      <w:r w:rsidR="009A520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9A520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– </w:t>
      </w:r>
      <w:r w:rsidR="009A520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46%;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18%;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60 – 18%.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28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E060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55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– 4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36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45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8C6A30" w:rsidRPr="00E060D9">
        <w:rPr>
          <w:rFonts w:ascii="Times New Roman" w:hAnsi="Times New Roman" w:cs="Times New Roman"/>
          <w:sz w:val="28"/>
          <w:szCs w:val="28"/>
        </w:rPr>
        <w:t>18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8C6A30" w:rsidRPr="00E060D9">
        <w:rPr>
          <w:rFonts w:ascii="Times New Roman" w:hAnsi="Times New Roman" w:cs="Times New Roman"/>
          <w:sz w:val="28"/>
          <w:szCs w:val="28"/>
        </w:rPr>
        <w:t>18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A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1</w:t>
      </w:r>
      <w:r w:rsidR="00D75A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затрудняюсь ответить – 18%.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45%;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18%;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9%;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18%.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удовлетворен – 55%;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27%;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9%;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9%.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 – 18%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затрудняюсь ответить – 18%.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45%;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18%;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19%;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18%.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19%;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45%;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9%;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27%.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73%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27%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18%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64%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снизилось – 18%.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27%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73%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увеличилось – 64%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36%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36%;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45%;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19%.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удовлетворен – 45%;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скорее удовлетворен – 36%;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не удовлетворен – 19%.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удовлетворен – 27%;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скорее удовлетворен – 46%;</w:t>
      </w:r>
    </w:p>
    <w:p w:rsidR="00DC42B7" w:rsidRPr="00DC42B7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не удовлетворен – 27%.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45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>скорее удовлетворен – 45%;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10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54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27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19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45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27</w:t>
      </w:r>
      <w:r w:rsidRPr="00991998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991998" w:rsidRDefault="00DC42B7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1998"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991998" w:rsidRPr="00991998">
        <w:rPr>
          <w:rFonts w:ascii="Times New Roman" w:hAnsi="Times New Roman" w:cs="Times New Roman"/>
          <w:sz w:val="28"/>
          <w:szCs w:val="28"/>
        </w:rPr>
        <w:t>18</w:t>
      </w:r>
      <w:r w:rsidRPr="0099199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9%;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27%.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скорее удовлетворительное – 45%;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9%;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19%.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>скорее удовлетворительное – 45%;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9%;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19%.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32C9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BF6B47"/>
    <w:rsid w:val="00C101BC"/>
    <w:rsid w:val="00C13135"/>
    <w:rsid w:val="00C268AD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43C10"/>
    <w:rsid w:val="00F47BD4"/>
    <w:rsid w:val="00F67791"/>
    <w:rsid w:val="00F67D22"/>
    <w:rsid w:val="00F813EE"/>
    <w:rsid w:val="00FA18BD"/>
    <w:rsid w:val="00FA3A51"/>
    <w:rsid w:val="00FB6FAD"/>
    <w:rsid w:val="00FD4DE4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D84-F28A-4149-A816-24D03654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70</cp:revision>
  <dcterms:created xsi:type="dcterms:W3CDTF">2020-09-21T13:25:00Z</dcterms:created>
  <dcterms:modified xsi:type="dcterms:W3CDTF">2022-01-20T06:00:00Z</dcterms:modified>
</cp:coreProperties>
</file>