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2A73" w:rsidRDefault="00A02A73" w:rsidP="00A02A73">
      <w:pPr>
        <w:pStyle w:val="1"/>
        <w:widowControl w:val="0"/>
        <w:shd w:val="clear" w:color="auto" w:fill="auto"/>
        <w:spacing w:after="0" w:line="240" w:lineRule="auto"/>
        <w:ind w:left="5387" w:right="-285"/>
        <w:contextualSpacing/>
        <w:rPr>
          <w:sz w:val="28"/>
          <w:szCs w:val="28"/>
        </w:rPr>
      </w:pPr>
    </w:p>
    <w:p w:rsidR="00A02A73" w:rsidRPr="001C4BB5" w:rsidRDefault="00A02A73" w:rsidP="00A02A73">
      <w:pPr>
        <w:widowControl w:val="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C4BB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ПАСПОРТ </w:t>
      </w:r>
    </w:p>
    <w:p w:rsidR="00A02A73" w:rsidRPr="001C4BB5" w:rsidRDefault="00A02A73" w:rsidP="00A02A73">
      <w:pPr>
        <w:widowControl w:val="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C4BB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муниципальной программы Лужского городского поселения </w:t>
      </w:r>
    </w:p>
    <w:p w:rsidR="00A02A73" w:rsidRPr="001C4BB5" w:rsidRDefault="00A02A73" w:rsidP="00A02A73">
      <w:pPr>
        <w:widowControl w:val="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C4BB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Лужского муниципального района Ленинградской области</w:t>
      </w:r>
    </w:p>
    <w:p w:rsidR="00A02A73" w:rsidRPr="001C4BB5" w:rsidRDefault="00A02A73" w:rsidP="00A02A73">
      <w:pPr>
        <w:widowControl w:val="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C4BB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«Развитие и поддержка малого и среднего предпринимательства </w:t>
      </w:r>
    </w:p>
    <w:p w:rsidR="00A02A73" w:rsidRDefault="00A02A73" w:rsidP="00A02A73">
      <w:pPr>
        <w:widowControl w:val="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1C4BB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 Лужском городском поселении»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</w:rPr>
        <w:t>(далее – муниципальная программа)</w:t>
      </w:r>
    </w:p>
    <w:p w:rsidR="00A02A73" w:rsidRDefault="00A02A73" w:rsidP="00A02A73">
      <w:pPr>
        <w:widowControl w:val="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(новая редакция)</w:t>
      </w:r>
    </w:p>
    <w:p w:rsidR="00A02A73" w:rsidRPr="001C4BB5" w:rsidRDefault="00A02A73" w:rsidP="00A02A73">
      <w:pPr>
        <w:widowControl w:val="0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bookmarkStart w:id="0" w:name="_GoBack"/>
      <w:bookmarkEnd w:id="0"/>
    </w:p>
    <w:tbl>
      <w:tblPr>
        <w:tblW w:w="9920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45"/>
        <w:gridCol w:w="5875"/>
      </w:tblGrid>
      <w:tr w:rsidR="00A02A73" w:rsidTr="00B85ABC">
        <w:trPr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реализации муниципальной программы </w:t>
            </w:r>
          </w:p>
        </w:tc>
        <w:tc>
          <w:tcPr>
            <w:tcW w:w="5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A02A73" w:rsidTr="00B85ABC">
        <w:trPr>
          <w:trHeight w:val="400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      </w:t>
            </w:r>
            <w:r>
              <w:rPr>
                <w:rFonts w:ascii="Times New Roman" w:hAnsi="Times New Roman" w:cs="Times New Roman"/>
              </w:rPr>
              <w:br/>
              <w:t>муниципальной программы</w:t>
            </w:r>
          </w:p>
        </w:tc>
        <w:tc>
          <w:tcPr>
            <w:tcW w:w="5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 экономического развития и инвестиционной деятельности администрации Лужского муниципального района</w:t>
            </w:r>
          </w:p>
        </w:tc>
      </w:tr>
      <w:tr w:rsidR="00A02A73" w:rsidTr="00B85ABC">
        <w:trPr>
          <w:trHeight w:val="400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Участники муниципальной </w:t>
            </w:r>
            <w:r>
              <w:rPr>
                <w:rFonts w:ascii="Times New Roman" w:hAnsi="Times New Roman" w:cs="Times New Roman"/>
              </w:rPr>
              <w:br/>
              <w:t>программы</w:t>
            </w:r>
          </w:p>
        </w:tc>
        <w:tc>
          <w:tcPr>
            <w:tcW w:w="5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Комитет экономического развития и инвестиционной деятельности администрации Лужского муниципального района; </w:t>
            </w:r>
          </w:p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 поддержки развития экономики и предпринимательства в Лужском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районе 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Социально-деловой Центр»;</w:t>
            </w:r>
          </w:p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субъекты малого и среднего предпринимательства Лужского городского поселения</w:t>
            </w:r>
          </w:p>
        </w:tc>
      </w:tr>
      <w:tr w:rsidR="00A02A73" w:rsidTr="00B85ABC">
        <w:trPr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</w:t>
            </w:r>
            <w:proofErr w:type="gramStart"/>
            <w:r>
              <w:rPr>
                <w:rFonts w:ascii="Times New Roman" w:hAnsi="Times New Roman" w:cs="Times New Roman"/>
              </w:rPr>
              <w:t>муниципальной  программы</w:t>
            </w:r>
            <w:proofErr w:type="gramEnd"/>
          </w:p>
        </w:tc>
        <w:tc>
          <w:tcPr>
            <w:tcW w:w="5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Создание условий для устойчивого функционирования и развития малого и среднего предпринимательства и увеличение его вклада в решение задач социально-экономического развития Лужского городского поселения</w:t>
            </w:r>
          </w:p>
        </w:tc>
      </w:tr>
      <w:tr w:rsidR="00A02A73" w:rsidTr="00B85ABC">
        <w:trPr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деловой активности населения за счет совершенствования информационно-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консультационной  поддержки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субъектов малого и среднего предпринимательства</w:t>
            </w:r>
          </w:p>
        </w:tc>
      </w:tr>
      <w:tr w:rsidR="00A02A73" w:rsidTr="00B85ABC">
        <w:trPr>
          <w:trHeight w:val="400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</w:rPr>
              <w:br/>
              <w:t>муниципальной программы</w:t>
            </w:r>
          </w:p>
        </w:tc>
        <w:tc>
          <w:tcPr>
            <w:tcW w:w="5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tabs>
                <w:tab w:val="num" w:pos="1429"/>
              </w:tabs>
              <w:autoSpaceDE w:val="0"/>
              <w:autoSpaceDN w:val="0"/>
              <w:adjustRightInd w:val="0"/>
              <w:ind w:firstLine="29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Прирост количества субъектов малого и среднего предпринимательства, осуществляющих деятельность на территории Лужского городского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поселения,  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к концу 202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года на 16,9 % в сравнении с 2017 годом </w:t>
            </w:r>
          </w:p>
        </w:tc>
      </w:tr>
      <w:tr w:rsidR="00A02A73" w:rsidTr="00B85ABC">
        <w:trPr>
          <w:trHeight w:val="400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</w:t>
            </w:r>
            <w:proofErr w:type="gramStart"/>
            <w:r>
              <w:rPr>
                <w:rFonts w:ascii="Times New Roman" w:hAnsi="Times New Roman" w:cs="Times New Roman"/>
              </w:rPr>
              <w:t>обеспечение  муниципальной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5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ind w:firstLine="1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Общий объем финансирования муниципальной программы за весь период реализации муниципальной программы составит </w:t>
            </w:r>
            <w:r w:rsidRPr="00572C17">
              <w:rPr>
                <w:rFonts w:ascii="Times New Roman" w:eastAsia="Times New Roman" w:hAnsi="Times New Roman" w:cs="Times New Roman"/>
              </w:rPr>
              <w:t xml:space="preserve">4643,01891 </w:t>
            </w: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02A73" w:rsidTr="00B85ABC">
        <w:trPr>
          <w:trHeight w:val="400"/>
          <w:jc w:val="center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налоговых расходов, направленных на достижение цели муниципальной программы</w:t>
            </w:r>
          </w:p>
        </w:tc>
        <w:tc>
          <w:tcPr>
            <w:tcW w:w="5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A73" w:rsidRDefault="00A02A73" w:rsidP="00B85AB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Налоговые расходы не предусмотрены</w:t>
            </w:r>
          </w:p>
        </w:tc>
      </w:tr>
    </w:tbl>
    <w:p w:rsidR="003F381F" w:rsidRDefault="003F381F"/>
    <w:sectPr w:rsidR="003F3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A73"/>
    <w:rsid w:val="003F381F"/>
    <w:rsid w:val="00482B4A"/>
    <w:rsid w:val="004B4ED6"/>
    <w:rsid w:val="00A02A73"/>
    <w:rsid w:val="00D8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A105"/>
  <w15:chartTrackingRefBased/>
  <w15:docId w15:val="{551EB78E-AA71-4204-A506-8D48C9C8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2A7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A02A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02A73"/>
    <w:pPr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Новоенко Н.С.</dc:creator>
  <cp:keywords/>
  <dc:description/>
  <cp:lastModifiedBy>Новоенко Н.С.</cp:lastModifiedBy>
  <cp:revision>1</cp:revision>
  <dcterms:created xsi:type="dcterms:W3CDTF">2024-11-12T05:09:00Z</dcterms:created>
  <dcterms:modified xsi:type="dcterms:W3CDTF">2024-11-12T05:10:00Z</dcterms:modified>
</cp:coreProperties>
</file>